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5C4D" w14:textId="77777777" w:rsidR="00EC2DCC" w:rsidRPr="00A7734E" w:rsidRDefault="00EC2DCC">
      <w:pPr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</w:p>
    <w:p w14:paraId="0928EA91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01BB6212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0CADF228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082FA30E" w14:textId="77777777" w:rsidR="00EC2DCC" w:rsidRPr="00A7734E" w:rsidRDefault="00A7734E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8"/>
          <w:szCs w:val="48"/>
        </w:rPr>
      </w:pPr>
      <w:r w:rsidRPr="002F5BBC">
        <w:rPr>
          <w:rFonts w:ascii="UD デジタル 教科書体 NP-R" w:eastAsia="UD デジタル 教科書体 NP-R" w:hAnsi="ＭＳ ゴシック" w:hint="eastAsia"/>
          <w:spacing w:val="348"/>
          <w:kern w:val="0"/>
          <w:sz w:val="48"/>
          <w:szCs w:val="48"/>
          <w:fitText w:val="5250" w:id="-1724185088"/>
        </w:rPr>
        <w:t>事業計画</w:t>
      </w:r>
      <w:r w:rsidRPr="002F5BBC">
        <w:rPr>
          <w:rFonts w:ascii="UD デジタル 教科書体 NP-R" w:eastAsia="UD デジタル 教科書体 NP-R" w:hAnsi="ＭＳ ゴシック" w:hint="eastAsia"/>
          <w:spacing w:val="30"/>
          <w:kern w:val="0"/>
          <w:sz w:val="48"/>
          <w:szCs w:val="48"/>
          <w:fitText w:val="5250" w:id="-1724185088"/>
        </w:rPr>
        <w:t>書</w:t>
      </w:r>
    </w:p>
    <w:p w14:paraId="268F153D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5A2E827A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455079E8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3B618F39" w14:textId="77777777" w:rsidR="00EC2DCC" w:rsidRPr="00A7734E" w:rsidRDefault="00EC2DCC" w:rsidP="00FB236A">
      <w:pPr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28C064A9" w14:textId="69624C2A" w:rsidR="00EC2DCC" w:rsidRPr="00FB236A" w:rsidRDefault="00755083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  <w:u w:val="single"/>
        </w:rPr>
      </w:pPr>
      <w:r>
        <w:rPr>
          <w:rFonts w:ascii="UD デジタル 教科書体 NP-R" w:eastAsia="UD デジタル 教科書体 NP-R" w:hAnsi="ＭＳ ゴシック" w:hint="eastAsia"/>
          <w:spacing w:val="12"/>
          <w:kern w:val="0"/>
          <w:sz w:val="40"/>
          <w:u w:val="single"/>
        </w:rPr>
        <w:t>吹田市自然体験交流センター</w:t>
      </w:r>
    </w:p>
    <w:p w14:paraId="77E270E5" w14:textId="77777777" w:rsidR="00EC2DCC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451208A9" w14:textId="77777777" w:rsidR="00FB236A" w:rsidRPr="00A7734E" w:rsidRDefault="00FB236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5FE324D1" w14:textId="77777777" w:rsidR="000B2227" w:rsidRPr="00A7734E" w:rsidRDefault="000B2227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28085592" w14:textId="77777777" w:rsidR="00EB158F" w:rsidRPr="00EB158F" w:rsidRDefault="00EB158F" w:rsidP="00EB158F">
      <w:pPr>
        <w:rPr>
          <w:rFonts w:ascii="UD デジタル 教科書体 NP-R" w:eastAsia="UD デジタル 教科書体 NP-R" w:hAnsi="ＭＳ ゴシック"/>
          <w:spacing w:val="12"/>
          <w:kern w:val="0"/>
          <w:sz w:val="28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ED41F0" w:rsidRPr="00A7734E" w14:paraId="0E72C570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62C78E3D" w14:textId="77777777" w:rsidR="00EC2DCC" w:rsidRPr="00A7734E" w:rsidRDefault="001D2A19" w:rsidP="00AB7DC3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団体</w:t>
            </w:r>
            <w:r w:rsidR="00A7734E"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7030" w:type="dxa"/>
            <w:vAlign w:val="center"/>
          </w:tcPr>
          <w:p w14:paraId="1CA8AFF3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D41F0" w:rsidRPr="00A7734E" w14:paraId="01DAEF56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640D0A17" w14:textId="77777777" w:rsidR="00EC2DCC" w:rsidRPr="00A7734E" w:rsidRDefault="00A7734E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代表者</w:t>
            </w:r>
            <w:r w:rsidR="0070641F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職・</w:t>
            </w: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氏名</w:t>
            </w:r>
          </w:p>
        </w:tc>
        <w:tc>
          <w:tcPr>
            <w:tcW w:w="7030" w:type="dxa"/>
            <w:vAlign w:val="center"/>
          </w:tcPr>
          <w:p w14:paraId="6348FB3B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D41F0" w:rsidRPr="00A7734E" w14:paraId="17475CBB" w14:textId="77777777" w:rsidTr="00D65335">
        <w:trPr>
          <w:trHeight w:val="567"/>
        </w:trPr>
        <w:tc>
          <w:tcPr>
            <w:tcW w:w="2041" w:type="dxa"/>
            <w:vAlign w:val="center"/>
          </w:tcPr>
          <w:p w14:paraId="471C751B" w14:textId="77777777" w:rsidR="00EC2DCC" w:rsidRPr="00A7734E" w:rsidRDefault="00A7734E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所在地</w:t>
            </w:r>
          </w:p>
        </w:tc>
        <w:tc>
          <w:tcPr>
            <w:tcW w:w="7030" w:type="dxa"/>
            <w:vAlign w:val="center"/>
          </w:tcPr>
          <w:p w14:paraId="29C575DD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B158F" w:rsidRPr="00A7734E" w14:paraId="1498DC61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27BD2350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担当者名</w:t>
            </w:r>
          </w:p>
        </w:tc>
        <w:tc>
          <w:tcPr>
            <w:tcW w:w="7030" w:type="dxa"/>
            <w:vAlign w:val="center"/>
          </w:tcPr>
          <w:p w14:paraId="1E008271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B158F" w:rsidRPr="00A7734E" w14:paraId="3A1F61D5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474B38F9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電話番号</w:t>
            </w:r>
          </w:p>
        </w:tc>
        <w:tc>
          <w:tcPr>
            <w:tcW w:w="7030" w:type="dxa"/>
            <w:vAlign w:val="center"/>
          </w:tcPr>
          <w:p w14:paraId="2BD58A17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EB158F" w:rsidRPr="00A7734E" w14:paraId="11E7C120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60F8FB2C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メールアドレス</w:t>
            </w:r>
          </w:p>
        </w:tc>
        <w:tc>
          <w:tcPr>
            <w:tcW w:w="7030" w:type="dxa"/>
            <w:vAlign w:val="center"/>
          </w:tcPr>
          <w:p w14:paraId="4AC8BC2C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</w:tbl>
    <w:p w14:paraId="02E893A3" w14:textId="77777777" w:rsidR="00EC2DCC" w:rsidRPr="00A7734E" w:rsidRDefault="00A7734E">
      <w:pPr>
        <w:rPr>
          <w:rFonts w:ascii="UD デジタル 教科書体 NP-R" w:eastAsia="UD デジタル 教科書体 NP-R" w:hAnsi="ＭＳ ゴシック"/>
          <w:spacing w:val="12"/>
          <w:kern w:val="0"/>
          <w:sz w:val="24"/>
        </w:rPr>
      </w:pPr>
      <w:r w:rsidRPr="00A7734E">
        <w:rPr>
          <w:rFonts w:ascii="UD デジタル 教科書体 NP-R" w:eastAsia="UD デジタル 教科書体 NP-R" w:hAnsi="ＭＳ ゴシック" w:hint="eastAsia"/>
          <w:spacing w:val="12"/>
          <w:kern w:val="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260791A6" w14:textId="77777777" w:rsidTr="00FA6CF3">
        <w:trPr>
          <w:trHeight w:val="507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F7491BB" w14:textId="3B5E5FCC" w:rsidR="00EC2DCC" w:rsidRPr="00755083" w:rsidRDefault="00A7734E">
            <w:pPr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１</w:t>
            </w:r>
            <w:r w:rsidR="00755083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 w:rsidR="00904175" w:rsidRPr="00D51A71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市民の</w:t>
            </w:r>
            <w:r w:rsidR="0031549F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公平・</w:t>
            </w:r>
            <w:r w:rsidR="00904175" w:rsidRPr="00D51A71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平等な利用が</w:t>
            </w:r>
            <w:r w:rsidR="00904175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確保されること</w:t>
            </w:r>
          </w:p>
        </w:tc>
      </w:tr>
      <w:tr w:rsidR="00ED41F0" w:rsidRPr="00A7734E" w14:paraId="5E510514" w14:textId="77777777">
        <w:trPr>
          <w:trHeight w:val="1312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EFA2E" w14:textId="2E4177F0" w:rsidR="00904175" w:rsidRPr="00741C8A" w:rsidRDefault="00904175" w:rsidP="00904175">
            <w:pPr>
              <w:ind w:leftChars="105" w:left="493" w:hangingChars="124" w:hanging="273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①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 w:rsidR="000E7B18" w:rsidRPr="000E7B18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施設の運営理念、運営方針</w:t>
            </w:r>
          </w:p>
          <w:p w14:paraId="2DBD9D87" w14:textId="1EE662F2" w:rsidR="00EC2DCC" w:rsidRPr="00A7734E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②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 w:rsidR="00E1019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公平・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平等な利用を図るための具体的手法及び期待される効果</w:t>
            </w:r>
          </w:p>
        </w:tc>
      </w:tr>
    </w:tbl>
    <w:p w14:paraId="653CC394" w14:textId="77777777" w:rsidR="00EC2DCC" w:rsidRPr="00A7734E" w:rsidRDefault="00A7734E">
      <w:pPr>
        <w:rPr>
          <w:rFonts w:ascii="UD デジタル 教科書体 NP-R" w:eastAsia="UD デジタル 教科書体 NP-R" w:hAnsi="ＭＳ ゴシック"/>
          <w:spacing w:val="12"/>
          <w:kern w:val="0"/>
          <w:sz w:val="24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pacing w:val="12"/>
          <w:kern w:val="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02B5ADE7" w14:textId="77777777" w:rsidTr="00FA6CF3">
        <w:trPr>
          <w:trHeight w:val="507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727F382" w14:textId="690A4688" w:rsidR="00EC2DCC" w:rsidRPr="00755083" w:rsidRDefault="00755083">
            <w:pPr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lastRenderedPageBreak/>
              <w:t xml:space="preserve">２　</w:t>
            </w:r>
            <w:r w:rsidR="00904175" w:rsidRPr="00C5741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事業計画書の内容が施設の</w:t>
            </w:r>
            <w:r w:rsidR="00E1019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機能</w:t>
            </w:r>
            <w:r w:rsidR="00904175" w:rsidRPr="00C5741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を最大限に発揮するものであること（自主事業の内容を含む。）</w:t>
            </w:r>
          </w:p>
        </w:tc>
      </w:tr>
      <w:tr w:rsidR="00ED41F0" w:rsidRPr="00A7734E" w14:paraId="449C3732" w14:textId="77777777">
        <w:trPr>
          <w:trHeight w:val="1312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24981" w14:textId="77777777" w:rsidR="00904175" w:rsidRPr="00920641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①　</w:t>
            </w:r>
            <w:r w:rsidRPr="00920641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サービスの向上を図るための具体的手法及び期待される効果</w:t>
            </w:r>
          </w:p>
          <w:p w14:paraId="642AC48F" w14:textId="70A74FC4" w:rsidR="00904175" w:rsidRPr="00920641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②　</w:t>
            </w:r>
            <w:r w:rsidRPr="00920641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安定した施設</w:t>
            </w:r>
            <w:r w:rsidR="00D96CB6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運営</w:t>
            </w:r>
            <w:r w:rsidRPr="00920641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のための具体的方策</w:t>
            </w:r>
          </w:p>
          <w:p w14:paraId="55CA1533" w14:textId="57C394F7" w:rsidR="00EC2DCC" w:rsidRPr="00A7734E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FC6D02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③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 w:rsidRPr="00132B99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安心・安全に利用できる施設とするための具体的方策</w:t>
            </w:r>
          </w:p>
        </w:tc>
      </w:tr>
    </w:tbl>
    <w:p w14:paraId="37FE41B2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0100E8EC" w14:textId="77777777" w:rsidTr="00FA6CF3">
        <w:trPr>
          <w:trHeight w:val="445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02B1CE9" w14:textId="733182E7" w:rsidR="00EC2DCC" w:rsidRPr="00A7734E" w:rsidRDefault="00A7734E">
            <w:pPr>
              <w:ind w:left="220" w:hangingChars="100" w:hanging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３　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事業計画書、管理体制計画書の内容が、安定した管理を行う人員、資産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sz w:val="22"/>
              </w:rPr>
              <w:t>、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その他経営規模及び能力を有しているか、又は確保できる見込みのあること</w:t>
            </w:r>
          </w:p>
        </w:tc>
      </w:tr>
      <w:tr w:rsidR="00ED41F0" w:rsidRPr="00A7734E" w14:paraId="502B350B" w14:textId="77777777">
        <w:trPr>
          <w:trHeight w:val="12918"/>
        </w:trPr>
        <w:tc>
          <w:tcPr>
            <w:tcW w:w="9979" w:type="dxa"/>
            <w:tcBorders>
              <w:left w:val="single" w:sz="12" w:space="0" w:color="auto"/>
              <w:right w:val="single" w:sz="12" w:space="0" w:color="auto"/>
            </w:tcBorders>
          </w:tcPr>
          <w:p w14:paraId="14286601" w14:textId="77777777" w:rsidR="00904175" w:rsidRPr="00741C8A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①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安定的な管理運営が可能となる人的能力</w:t>
            </w:r>
          </w:p>
          <w:p w14:paraId="27D92347" w14:textId="6CDDEFC7" w:rsidR="00EC2DCC" w:rsidRPr="00A7734E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②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安定的な管理運営が可能な財政的基盤</w:t>
            </w:r>
          </w:p>
        </w:tc>
      </w:tr>
    </w:tbl>
    <w:p w14:paraId="249ECBD0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3AF1B069" w14:textId="77777777" w:rsidTr="006A0F20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899AF94" w14:textId="40B86CF6" w:rsidR="00EC2DCC" w:rsidRPr="00755083" w:rsidRDefault="00A7734E" w:rsidP="00755083">
            <w:pPr>
              <w:ind w:left="220" w:hangingChars="100" w:hanging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</w:r>
            <w:r w:rsidR="004C0637"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  <w:r w:rsidR="00755083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 w:rsidR="00EF65B8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団体事務所等の所在地または活動場所が本市内であること、もしくは、本市内で本施設の設置目的に関連した事業等の実績があること</w:t>
            </w:r>
          </w:p>
        </w:tc>
      </w:tr>
      <w:tr w:rsidR="00ED41F0" w:rsidRPr="00A7734E" w14:paraId="0BBB576B" w14:textId="77777777" w:rsidTr="006A0F20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30CDE" w14:textId="5CF38B18" w:rsidR="002F5BBC" w:rsidRDefault="00EF65B8" w:rsidP="00EF65B8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①</w:t>
            </w:r>
            <w:r w:rsidR="002F5BBC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団体事務所等の所在地または活動場所が本市内で</w:t>
            </w:r>
            <w:r w:rsidR="002F5BBC">
              <w:rPr>
                <w:rFonts w:ascii="UD デジタル 教科書体 NP-R" w:eastAsia="UD デジタル 教科書体 NP-R" w:hAnsi="ＭＳ ゴシック" w:hint="eastAsia"/>
                <w:sz w:val="22"/>
              </w:rPr>
              <w:t>あるか</w:t>
            </w:r>
          </w:p>
          <w:p w14:paraId="2F915AB8" w14:textId="77777777" w:rsidR="002F5BBC" w:rsidRDefault="002F5BBC" w:rsidP="002F5BBC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</w:p>
          <w:p w14:paraId="765215EA" w14:textId="77777777" w:rsidR="002F5BBC" w:rsidRDefault="002F5BBC" w:rsidP="002F5BBC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　　　　　はい　　　　　　　　　・　　　　　　　　　いいえ</w:t>
            </w:r>
          </w:p>
          <w:p w14:paraId="5046AC80" w14:textId="77777777" w:rsidR="00EF65B8" w:rsidRDefault="00EF65B8" w:rsidP="002F5BBC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</w:p>
          <w:p w14:paraId="4A1FC52A" w14:textId="209E151C" w:rsidR="002F5BBC" w:rsidRDefault="00EF65B8" w:rsidP="002F5BBC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②</w:t>
            </w:r>
            <w:r w:rsidR="002F5BBC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地域貢献・社会的貢献への方策</w:t>
            </w:r>
          </w:p>
          <w:p w14:paraId="37607D80" w14:textId="36AE52BE" w:rsidR="004C0637" w:rsidRPr="002F5BBC" w:rsidRDefault="004C0637" w:rsidP="00074D03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0EC9BAD5" w14:textId="20FAEC2B" w:rsidR="00755083" w:rsidRPr="00A7734E" w:rsidRDefault="0041311B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0AF30425" w14:textId="77777777" w:rsidTr="006A0F20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66BA704" w14:textId="5C549261" w:rsidR="00EC2DCC" w:rsidRPr="00D67EE2" w:rsidRDefault="00A7734E" w:rsidP="00755083">
            <w:pPr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 </w:t>
            </w:r>
            <w:r w:rsidR="004C0637"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  <w:r w:rsidR="00755083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施設の設置目的を効果的に達成し、質の高いサービス</w:t>
            </w:r>
            <w:r w:rsidR="00904175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の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提供</w:t>
            </w:r>
            <w:r w:rsidR="00904175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に寄与</w:t>
            </w:r>
            <w:r w:rsidR="00904175"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できること</w:t>
            </w:r>
          </w:p>
        </w:tc>
      </w:tr>
      <w:tr w:rsidR="00ED41F0" w:rsidRPr="00A7734E" w14:paraId="795F144C" w14:textId="77777777" w:rsidTr="006A0F20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87EAC" w14:textId="48DF4B1C" w:rsidR="00904175" w:rsidRPr="00C5741A" w:rsidRDefault="00904175" w:rsidP="00904175">
            <w:pPr>
              <w:ind w:leftChars="100" w:left="430" w:hangingChars="100" w:hanging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①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事業計画の内容が、具体的・現実的であり、かつ</w:t>
            </w:r>
            <w:r w:rsidR="0031549F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創意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工夫や積極性</w:t>
            </w:r>
          </w:p>
          <w:p w14:paraId="34405744" w14:textId="77777777" w:rsidR="00904175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②　学校利用含む利用促進（SNS等を活用した広報・周知を含む。）の方策</w:t>
            </w:r>
          </w:p>
          <w:p w14:paraId="236089D2" w14:textId="77777777" w:rsidR="00904175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③　利用者が予約状況を確認するための具体的方策</w:t>
            </w:r>
          </w:p>
          <w:p w14:paraId="49940705" w14:textId="64E995E3" w:rsidR="00904175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④　キャンプ</w:t>
            </w:r>
            <w:r w:rsidR="00D96CB6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サポーター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養成のための具体的方策</w:t>
            </w:r>
          </w:p>
          <w:p w14:paraId="4EDE1A77" w14:textId="57CFA0D4" w:rsidR="00904175" w:rsidRPr="00C81A5A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⑤　食堂運営（アレルギー</w:t>
            </w:r>
            <w:r w:rsidR="000E7B18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食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対応含む。）の具体的方策</w:t>
            </w:r>
          </w:p>
          <w:p w14:paraId="39AA244B" w14:textId="77777777" w:rsidR="00904175" w:rsidRDefault="00904175" w:rsidP="00904175">
            <w:pPr>
              <w:rPr>
                <w:rFonts w:ascii="UD デジタル 教科書体 NP-R" w:eastAsia="UD デジタル 教科書体 NP-R" w:hAnsi="ＭＳ 明朝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　⑥　施設利用者の安全確保（防犯カメラの運用含む。）のための具体的方策</w:t>
            </w:r>
          </w:p>
          <w:p w14:paraId="270B58EC" w14:textId="4F3F1BA6" w:rsidR="00EC2DCC" w:rsidRPr="00A7734E" w:rsidRDefault="00904175" w:rsidP="00904175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 xml:space="preserve">⑦　</w:t>
            </w:r>
            <w:r w:rsidRPr="00741C8A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災害発生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時における具体的方策（対応フロー作成や</w:t>
            </w:r>
            <w:r w:rsidRPr="00132B99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Wi-Fi環境の提供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を</w:t>
            </w:r>
            <w:r w:rsidRPr="00132B99"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含む。</w:t>
            </w:r>
            <w:r>
              <w:rPr>
                <w:rFonts w:ascii="UD デジタル 教科書体 NP-R" w:eastAsia="UD デジタル 教科書体 NP-R" w:hAnsi="ＭＳ 明朝" w:hint="eastAsia"/>
                <w:color w:val="000000"/>
                <w:sz w:val="22"/>
              </w:rPr>
              <w:t>）</w:t>
            </w:r>
          </w:p>
        </w:tc>
      </w:tr>
    </w:tbl>
    <w:p w14:paraId="70376C08" w14:textId="5542E897" w:rsidR="00493825" w:rsidRDefault="0041311B">
      <w:pPr>
        <w:widowControl/>
        <w:jc w:val="left"/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="00493825">
        <w:rPr>
          <w:rFonts w:ascii="UD デジタル 教科書体 NP-R" w:eastAsia="UD デジタル 教科書体 NP-R" w:hAnsi="ＭＳ ゴシック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493825" w:rsidRPr="00A7734E" w14:paraId="1AEC06BD" w14:textId="77777777" w:rsidTr="00116B86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337B372" w14:textId="28FF4A13" w:rsidR="00493825" w:rsidRPr="004A6CB6" w:rsidRDefault="00493825" w:rsidP="004A6CB6">
            <w:pPr>
              <w:ind w:firstLineChars="50" w:firstLine="11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</w:r>
            <w:r w:rsidR="004A6CB6"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提案価格</w:t>
            </w:r>
          </w:p>
        </w:tc>
      </w:tr>
      <w:tr w:rsidR="00493825" w:rsidRPr="00A7734E" w14:paraId="61EB36FC" w14:textId="77777777" w:rsidTr="00116B86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B50D5" w14:textId="77777777" w:rsidR="00493825" w:rsidRDefault="00493825" w:rsidP="00116B86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8A10AF">
              <w:rPr>
                <w:rFonts w:ascii="UD デジタル 教科書体 NP-R" w:eastAsia="UD デジタル 教科書体 NP-R" w:hAnsi="ＭＳ 明朝" w:hint="eastAsia"/>
                <w:sz w:val="22"/>
              </w:rPr>
              <w:t>令和９年（2027年）４月１日から令和14年（2032年）３月31日まで（５年）の指定管理料を提案してください。（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消費税及び地方消費税相当額を含む額</w:t>
            </w:r>
            <w:r w:rsidRPr="008A10A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tbl>
            <w:tblPr>
              <w:tblW w:w="8224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493825" w:rsidRPr="00EE7298" w14:paraId="0C136292" w14:textId="77777777" w:rsidTr="00574CC3">
              <w:trPr>
                <w:trHeight w:val="1056"/>
              </w:trPr>
              <w:tc>
                <w:tcPr>
                  <w:tcW w:w="1984" w:type="dxa"/>
                  <w:tcBorders>
                    <w:left w:val="single" w:sz="8" w:space="0" w:color="auto"/>
                  </w:tcBorders>
                  <w:vAlign w:val="center"/>
                </w:tcPr>
                <w:p w14:paraId="71E8E2DA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  <w:r w:rsidRPr="00EE7298">
                    <w:rPr>
                      <w:rFonts w:ascii="UD デジタル 教科書体 NP" w:eastAsia="UD デジタル 教科書体 NP" w:hAnsi="ＭＳ ゴシック" w:hint="eastAsia"/>
                      <w:sz w:val="22"/>
                      <w:szCs w:val="22"/>
                    </w:rPr>
                    <w:t>提</w:t>
                  </w:r>
                  <w:r w:rsidRPr="00EE7298"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  <w:t xml:space="preserve"> </w:t>
                  </w:r>
                  <w:r w:rsidRPr="00EE7298">
                    <w:rPr>
                      <w:rFonts w:ascii="UD デジタル 教科書体 NP" w:eastAsia="UD デジタル 教科書体 NP" w:hAnsi="ＭＳ ゴシック" w:hint="eastAsia"/>
                      <w:sz w:val="22"/>
                      <w:szCs w:val="22"/>
                    </w:rPr>
                    <w:t>案</w:t>
                  </w:r>
                  <w:r w:rsidRPr="00EE7298"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  <w:t xml:space="preserve"> </w:t>
                  </w:r>
                  <w:r w:rsidRPr="00EE7298">
                    <w:rPr>
                      <w:rFonts w:ascii="UD デジタル 教科書体 NP" w:eastAsia="UD デジタル 教科書体 NP" w:hAnsi="ＭＳ ゴシック" w:hint="eastAsia"/>
                      <w:sz w:val="22"/>
                      <w:szCs w:val="22"/>
                    </w:rPr>
                    <w:t>価</w:t>
                  </w:r>
                  <w:r w:rsidRPr="00EE7298"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  <w:t xml:space="preserve"> </w:t>
                  </w:r>
                  <w:r w:rsidRPr="00EE7298">
                    <w:rPr>
                      <w:rFonts w:ascii="UD デジタル 教科書体 NP" w:eastAsia="UD デジタル 教科書体 NP" w:hAnsi="ＭＳ ゴシック" w:hint="eastAsia"/>
                      <w:sz w:val="22"/>
                      <w:szCs w:val="22"/>
                    </w:rPr>
                    <w:t>格</w:t>
                  </w:r>
                </w:p>
              </w:tc>
              <w:tc>
                <w:tcPr>
                  <w:tcW w:w="624" w:type="dxa"/>
                  <w:tcBorders>
                    <w:right w:val="single" w:sz="4" w:space="0" w:color="auto"/>
                  </w:tcBorders>
                  <w:vAlign w:val="center"/>
                </w:tcPr>
                <w:p w14:paraId="0E53BF8E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E875E4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FF745D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1FC0AA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2F3264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AD1141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7BA5E2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979C93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5EAC8F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640EDF23" w14:textId="77777777" w:rsidR="00493825" w:rsidRPr="00EE7298" w:rsidRDefault="00493825" w:rsidP="00116B86">
                  <w:pPr>
                    <w:jc w:val="center"/>
                    <w:rPr>
                      <w:rFonts w:ascii="UD デジタル 教科書体 NP" w:eastAsia="UD デジタル 教科書体 NP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5EB9388E" w14:textId="77777777" w:rsidR="00493825" w:rsidRDefault="00493825" w:rsidP="00116B86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2BB7E4D" w14:textId="77777777" w:rsidR="00493825" w:rsidRDefault="00493825" w:rsidP="00116B86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※　金額の頭に￥記号をつけること。</w:t>
            </w:r>
          </w:p>
          <w:p w14:paraId="6DE8F3DC" w14:textId="135B2685" w:rsidR="00493825" w:rsidRPr="008A10AF" w:rsidRDefault="00493825" w:rsidP="00493825">
            <w:pPr>
              <w:ind w:leftChars="104" w:left="445" w:hangingChars="103" w:hanging="227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※　提案価格は、様式５号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収支計画書（１）管理業務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に記載した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5年間の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指定管理料の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合計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額と一致させてください。また、市が提示した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各年度の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指定管理料の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額の範囲</w:t>
            </w:r>
            <w:r w:rsidRPr="008A10AF">
              <w:rPr>
                <w:rFonts w:ascii="UD デジタル 教科書体 NP-R" w:eastAsia="UD デジタル 教科書体 NP-R" w:hAnsi="ＭＳ ゴシック" w:hint="eastAsia"/>
                <w:sz w:val="22"/>
              </w:rPr>
              <w:t>を上回ることはできません。</w:t>
            </w:r>
          </w:p>
          <w:p w14:paraId="1CE03F5B" w14:textId="77777777" w:rsidR="00493825" w:rsidRPr="008A10AF" w:rsidRDefault="00493825" w:rsidP="00116B86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4566A5BC" w14:textId="02E1C0D3" w:rsidR="00EC2DCC" w:rsidRPr="00493825" w:rsidRDefault="0041311B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</w:p>
    <w:sectPr w:rsidR="00EC2DCC" w:rsidRPr="00493825">
      <w:headerReference w:type="default" r:id="rId7"/>
      <w:footerReference w:type="first" r:id="rId8"/>
      <w:pgSz w:w="11906" w:h="16838"/>
      <w:pgMar w:top="1134" w:right="849" w:bottom="993" w:left="1276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BCE5" w14:textId="77777777" w:rsidR="0053784B" w:rsidRDefault="0053784B">
      <w:r>
        <w:separator/>
      </w:r>
    </w:p>
  </w:endnote>
  <w:endnote w:type="continuationSeparator" w:id="0">
    <w:p w14:paraId="6E0A6F56" w14:textId="77777777" w:rsidR="0053784B" w:rsidRDefault="0053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C71A" w14:textId="77777777" w:rsidR="00327DFB" w:rsidRDefault="00327DF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662C" w14:textId="77777777" w:rsidR="0053784B" w:rsidRDefault="0053784B">
      <w:r>
        <w:separator/>
      </w:r>
    </w:p>
  </w:footnote>
  <w:footnote w:type="continuationSeparator" w:id="0">
    <w:p w14:paraId="6B3B214A" w14:textId="77777777" w:rsidR="0053784B" w:rsidRDefault="0053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C2F8" w14:textId="77777777" w:rsidR="00F56592" w:rsidRPr="00F56592" w:rsidRDefault="00F56592" w:rsidP="00F56592">
    <w:pPr>
      <w:pStyle w:val="a4"/>
      <w:jc w:val="left"/>
      <w:rPr>
        <w:rFonts w:ascii="UD デジタル 教科書体 NP-R" w:eastAsia="UD デジタル 教科書体 NP-R"/>
        <w:sz w:val="24"/>
      </w:rPr>
    </w:pPr>
    <w:r w:rsidRPr="00F56592">
      <w:rPr>
        <w:rFonts w:ascii="UD デジタル 教科書体 NP-R" w:eastAsia="UD デジタル 教科書体 NP-R" w:hAnsi="ＭＳ 明朝" w:hint="eastAsia"/>
        <w:sz w:val="24"/>
      </w:rPr>
      <w:t>様式</w:t>
    </w:r>
    <w:r w:rsidRPr="00F56592">
      <w:rPr>
        <w:rFonts w:ascii="UD デジタル 教科書体 NP-R" w:eastAsia="UD デジタル 教科書体 NP-R" w:hAnsi="ＭＳ 明朝"/>
        <w:sz w:val="24"/>
      </w:rPr>
      <w:t>第</w:t>
    </w:r>
    <w:r w:rsidRPr="00F56592">
      <w:rPr>
        <w:rFonts w:ascii="UD デジタル 教科書体 NP-R" w:eastAsia="UD デジタル 教科書体 NP-R" w:hAnsi="ＭＳ 明朝" w:hint="eastAsia"/>
        <w:sz w:val="24"/>
      </w:rPr>
      <w:t>４</w:t>
    </w:r>
    <w:r w:rsidRPr="00F56592">
      <w:rPr>
        <w:rFonts w:ascii="UD デジタル 教科書体 NP-R" w:eastAsia="UD デジタル 教科書体 NP-R" w:hAnsi="ＭＳ 明朝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4291"/>
    <w:multiLevelType w:val="hybridMultilevel"/>
    <w:tmpl w:val="DB4207C8"/>
    <w:lvl w:ilvl="0" w:tplc="90B05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6FA64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727D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1684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B657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BC27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F818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CCFB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2CF8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85E37"/>
    <w:multiLevelType w:val="hybridMultilevel"/>
    <w:tmpl w:val="205E0624"/>
    <w:lvl w:ilvl="0" w:tplc="15747E92">
      <w:start w:val="2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40789012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722EC9C0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4C26BC64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BDAAA520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4482BA3C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1AF6C54E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E3F828CA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46A4626E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481E7B0F"/>
    <w:multiLevelType w:val="hybridMultilevel"/>
    <w:tmpl w:val="89D40BBE"/>
    <w:lvl w:ilvl="0" w:tplc="AB9C2BE4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55B0AF74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A574022E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F34E9868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3580E5F2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3A66EE5A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A1968D4A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E3B06FDE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14DA45BE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4F222275"/>
    <w:multiLevelType w:val="hybridMultilevel"/>
    <w:tmpl w:val="A99EAAB4"/>
    <w:lvl w:ilvl="0" w:tplc="BD4233B2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89E8228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2887FD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1425B2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BD668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CEC721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4CEB5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7ED1F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4AE994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0D54421"/>
    <w:multiLevelType w:val="hybridMultilevel"/>
    <w:tmpl w:val="C12405E8"/>
    <w:lvl w:ilvl="0" w:tplc="04544C94">
      <w:start w:val="2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57CA6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09A89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D44625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96C2F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95243D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60E83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2C035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CE69F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1345DB"/>
    <w:multiLevelType w:val="hybridMultilevel"/>
    <w:tmpl w:val="8638B64A"/>
    <w:lvl w:ilvl="0" w:tplc="75FCAB0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BFFEEE4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C292F0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DB0F37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925ECB6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660E8F90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C96288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DC36AA4A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5644C2F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7F1F1807"/>
    <w:multiLevelType w:val="hybridMultilevel"/>
    <w:tmpl w:val="A1B29EE6"/>
    <w:lvl w:ilvl="0" w:tplc="1B1093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262D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A0A4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920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EDF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0207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800B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F28D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A6FB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6292401">
    <w:abstractNumId w:val="0"/>
  </w:num>
  <w:num w:numId="2" w16cid:durableId="7800557">
    <w:abstractNumId w:val="6"/>
  </w:num>
  <w:num w:numId="3" w16cid:durableId="1894778656">
    <w:abstractNumId w:val="4"/>
  </w:num>
  <w:num w:numId="4" w16cid:durableId="338240527">
    <w:abstractNumId w:val="1"/>
  </w:num>
  <w:num w:numId="5" w16cid:durableId="20402282">
    <w:abstractNumId w:val="5"/>
  </w:num>
  <w:num w:numId="6" w16cid:durableId="1270090854">
    <w:abstractNumId w:val="2"/>
  </w:num>
  <w:num w:numId="7" w16cid:durableId="209840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60"/>
    <w:rsid w:val="00031162"/>
    <w:rsid w:val="000319C2"/>
    <w:rsid w:val="00074D03"/>
    <w:rsid w:val="00094D93"/>
    <w:rsid w:val="000B2227"/>
    <w:rsid w:val="000B2766"/>
    <w:rsid w:val="000E3ED0"/>
    <w:rsid w:val="000E7B18"/>
    <w:rsid w:val="001076CF"/>
    <w:rsid w:val="00112A52"/>
    <w:rsid w:val="0016259A"/>
    <w:rsid w:val="00174518"/>
    <w:rsid w:val="001A3130"/>
    <w:rsid w:val="001B1BDC"/>
    <w:rsid w:val="001D2A19"/>
    <w:rsid w:val="00254B30"/>
    <w:rsid w:val="00261160"/>
    <w:rsid w:val="002B5365"/>
    <w:rsid w:val="002C3D11"/>
    <w:rsid w:val="002F1360"/>
    <w:rsid w:val="002F4560"/>
    <w:rsid w:val="002F5BBC"/>
    <w:rsid w:val="0031549F"/>
    <w:rsid w:val="00327DFB"/>
    <w:rsid w:val="00407850"/>
    <w:rsid w:val="0041311B"/>
    <w:rsid w:val="004720E2"/>
    <w:rsid w:val="00493825"/>
    <w:rsid w:val="004A6CB6"/>
    <w:rsid w:val="004C0637"/>
    <w:rsid w:val="004C1CE9"/>
    <w:rsid w:val="005209CD"/>
    <w:rsid w:val="0053784B"/>
    <w:rsid w:val="00574CC3"/>
    <w:rsid w:val="005A3959"/>
    <w:rsid w:val="005B3269"/>
    <w:rsid w:val="005D1A66"/>
    <w:rsid w:val="005D1C3E"/>
    <w:rsid w:val="005E0A89"/>
    <w:rsid w:val="00607AC7"/>
    <w:rsid w:val="00624010"/>
    <w:rsid w:val="00641451"/>
    <w:rsid w:val="006505B9"/>
    <w:rsid w:val="006A0F20"/>
    <w:rsid w:val="006F48D5"/>
    <w:rsid w:val="0070641F"/>
    <w:rsid w:val="00715459"/>
    <w:rsid w:val="007157B5"/>
    <w:rsid w:val="00723146"/>
    <w:rsid w:val="00734DAD"/>
    <w:rsid w:val="00755083"/>
    <w:rsid w:val="00773B9C"/>
    <w:rsid w:val="00777372"/>
    <w:rsid w:val="00791090"/>
    <w:rsid w:val="007D43FD"/>
    <w:rsid w:val="0081567D"/>
    <w:rsid w:val="00822F2A"/>
    <w:rsid w:val="00847744"/>
    <w:rsid w:val="0088750F"/>
    <w:rsid w:val="008C7C3A"/>
    <w:rsid w:val="008E5C6F"/>
    <w:rsid w:val="00904175"/>
    <w:rsid w:val="0093341F"/>
    <w:rsid w:val="0093468F"/>
    <w:rsid w:val="00945362"/>
    <w:rsid w:val="00963672"/>
    <w:rsid w:val="00976241"/>
    <w:rsid w:val="0098572E"/>
    <w:rsid w:val="00992780"/>
    <w:rsid w:val="009C09EC"/>
    <w:rsid w:val="00A07689"/>
    <w:rsid w:val="00A16A81"/>
    <w:rsid w:val="00A3118E"/>
    <w:rsid w:val="00A365A1"/>
    <w:rsid w:val="00A62C88"/>
    <w:rsid w:val="00A7734E"/>
    <w:rsid w:val="00A8169C"/>
    <w:rsid w:val="00A97061"/>
    <w:rsid w:val="00AB5A3E"/>
    <w:rsid w:val="00AB7DC3"/>
    <w:rsid w:val="00AD0CDF"/>
    <w:rsid w:val="00AE6193"/>
    <w:rsid w:val="00B520B4"/>
    <w:rsid w:val="00BC7243"/>
    <w:rsid w:val="00BD5949"/>
    <w:rsid w:val="00C93DA6"/>
    <w:rsid w:val="00D65335"/>
    <w:rsid w:val="00D66A72"/>
    <w:rsid w:val="00D67EE2"/>
    <w:rsid w:val="00D96CB6"/>
    <w:rsid w:val="00DB6C98"/>
    <w:rsid w:val="00DD748B"/>
    <w:rsid w:val="00DF65FF"/>
    <w:rsid w:val="00E05456"/>
    <w:rsid w:val="00E1019A"/>
    <w:rsid w:val="00E11316"/>
    <w:rsid w:val="00E25A59"/>
    <w:rsid w:val="00E262AA"/>
    <w:rsid w:val="00E548F1"/>
    <w:rsid w:val="00EA67FB"/>
    <w:rsid w:val="00EB158F"/>
    <w:rsid w:val="00EC2DCC"/>
    <w:rsid w:val="00ED41F0"/>
    <w:rsid w:val="00EF65B8"/>
    <w:rsid w:val="00F07D5E"/>
    <w:rsid w:val="00F56592"/>
    <w:rsid w:val="00F56BD8"/>
    <w:rsid w:val="00F96F63"/>
    <w:rsid w:val="00FA6CF3"/>
    <w:rsid w:val="00FB236A"/>
    <w:rsid w:val="00FB5A62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EF215"/>
  <w15:chartTrackingRefBased/>
  <w15:docId w15:val="{341856C3-0328-47FC-BB1F-1E20898A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1">
    <w:name w:val="toc 1"/>
    <w:basedOn w:val="a"/>
    <w:next w:val="a"/>
    <w:autoRedefine/>
    <w:semiHidden/>
  </w:style>
  <w:style w:type="character" w:styleId="a8">
    <w:name w:val="Hyperlink"/>
    <w:rPr>
      <w:color w:val="0000FF"/>
      <w:u w:val="single"/>
    </w:rPr>
  </w:style>
  <w:style w:type="paragraph" w:styleId="2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="660" w:hangingChars="300" w:hanging="660"/>
    </w:pPr>
    <w:rPr>
      <w:sz w:val="22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F56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83</TotalTime>
  <Pages>7</Pages>
  <Words>1006</Words>
  <Characters>168</Characters>
  <DocSecurity>0</DocSecurity>
  <Lines>1</Lines>
  <Paragraphs>2</Paragraphs>
  <ScaleCrop>false</ScaleCrop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2026-06-17T03:58:00Z</cp:lastPrinted>
  <dcterms:created xsi:type="dcterms:W3CDTF">2023-12-20T04:56:00Z</dcterms:created>
  <dcterms:modified xsi:type="dcterms:W3CDTF">2026-07-03T03:41:00Z</dcterms:modified>
</cp:coreProperties>
</file>