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3F7" w:rsidRDefault="003F33F7" w:rsidP="003F33F7">
      <w:pPr>
        <w:ind w:right="-2"/>
        <w:jc w:val="center"/>
        <w:rPr>
          <w:rFonts w:ascii="ＭＳ ゴシック" w:eastAsia="ＭＳ ゴシック" w:hAnsi="ＭＳ ゴシック" w:hint="eastAsia"/>
          <w:sz w:val="22"/>
        </w:rPr>
      </w:pPr>
      <w:r w:rsidRPr="003F33F7">
        <w:rPr>
          <w:rFonts w:ascii="ＭＳ ゴシック" w:eastAsia="ＭＳ ゴシック" w:hAnsi="ＭＳ ゴシック" w:hint="eastAsia"/>
          <w:sz w:val="22"/>
        </w:rPr>
        <w:t>統一的な基準と吹田市新公会計制度の違い</w:t>
      </w:r>
    </w:p>
    <w:p w:rsidR="003F33F7" w:rsidRPr="003F33F7" w:rsidRDefault="003F33F7" w:rsidP="003F33F7">
      <w:pPr>
        <w:ind w:right="-2"/>
        <w:jc w:val="center"/>
        <w:rPr>
          <w:rFonts w:ascii="ＭＳ ゴシック" w:eastAsia="ＭＳ ゴシック" w:hAnsi="ＭＳ ゴシック" w:hint="eastAsia"/>
          <w:sz w:val="22"/>
        </w:rPr>
      </w:pPr>
      <w:bookmarkStart w:id="0" w:name="_GoBack"/>
      <w:bookmarkEnd w:id="0"/>
    </w:p>
    <w:p w:rsidR="003F33F7" w:rsidRPr="0044455D" w:rsidRDefault="003F33F7" w:rsidP="003F33F7">
      <w:pPr>
        <w:ind w:right="-2"/>
        <w:rPr>
          <w:rFonts w:hint="eastAsia"/>
          <w:szCs w:val="21"/>
        </w:rPr>
      </w:pPr>
    </w:p>
    <w:tbl>
      <w:tblPr>
        <w:tblW w:w="9320" w:type="dxa"/>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072"/>
        <w:gridCol w:w="3864"/>
      </w:tblGrid>
      <w:tr w:rsidR="003F33F7" w:rsidRPr="003F33F7" w:rsidTr="003F33F7">
        <w:trPr>
          <w:cantSplit/>
          <w:jc w:val="center"/>
        </w:trPr>
        <w:tc>
          <w:tcPr>
            <w:tcW w:w="1384" w:type="dxa"/>
            <w:shd w:val="clear" w:color="auto" w:fill="auto"/>
          </w:tcPr>
          <w:p w:rsidR="003F33F7" w:rsidRPr="003F33F7" w:rsidRDefault="003F33F7" w:rsidP="00A2205C">
            <w:pPr>
              <w:ind w:right="-2"/>
              <w:jc w:val="center"/>
              <w:rPr>
                <w:rFonts w:ascii="ＭＳ ゴシック" w:eastAsia="ＭＳ ゴシック" w:hAnsi="ＭＳ ゴシック" w:hint="eastAsia"/>
                <w:sz w:val="22"/>
              </w:rPr>
            </w:pPr>
            <w:r w:rsidRPr="003F33F7">
              <w:rPr>
                <w:rFonts w:ascii="ＭＳ ゴシック" w:eastAsia="ＭＳ ゴシック" w:hAnsi="ＭＳ ゴシック" w:hint="eastAsia"/>
                <w:sz w:val="22"/>
              </w:rPr>
              <w:t>区分</w:t>
            </w:r>
          </w:p>
        </w:tc>
        <w:tc>
          <w:tcPr>
            <w:tcW w:w="4072" w:type="dxa"/>
            <w:shd w:val="clear" w:color="auto" w:fill="auto"/>
          </w:tcPr>
          <w:p w:rsidR="003F33F7" w:rsidRPr="003F33F7" w:rsidRDefault="003F33F7" w:rsidP="00A2205C">
            <w:pPr>
              <w:ind w:right="-2"/>
              <w:jc w:val="center"/>
              <w:rPr>
                <w:rFonts w:ascii="ＭＳ ゴシック" w:eastAsia="ＭＳ ゴシック" w:hAnsi="ＭＳ ゴシック" w:hint="eastAsia"/>
                <w:sz w:val="22"/>
              </w:rPr>
            </w:pPr>
            <w:r>
              <w:rPr>
                <w:rFonts w:ascii="ＭＳ ゴシック" w:eastAsia="ＭＳ ゴシック" w:hAnsi="ＭＳ ゴシック" w:hint="eastAsia"/>
                <w:sz w:val="22"/>
              </w:rPr>
              <w:t>統一的な基準</w:t>
            </w:r>
          </w:p>
        </w:tc>
        <w:tc>
          <w:tcPr>
            <w:tcW w:w="3864" w:type="dxa"/>
          </w:tcPr>
          <w:p w:rsidR="003F33F7" w:rsidRPr="003F33F7" w:rsidRDefault="003F33F7" w:rsidP="00A2205C">
            <w:pPr>
              <w:ind w:right="-2"/>
              <w:jc w:val="center"/>
              <w:rPr>
                <w:rFonts w:ascii="ＭＳ ゴシック" w:eastAsia="ＭＳ ゴシック" w:hAnsi="ＭＳ ゴシック" w:hint="eastAsia"/>
                <w:sz w:val="22"/>
              </w:rPr>
            </w:pPr>
            <w:r>
              <w:rPr>
                <w:rFonts w:ascii="ＭＳ ゴシック" w:eastAsia="ＭＳ ゴシック" w:hAnsi="ＭＳ ゴシック" w:hint="eastAsia"/>
                <w:sz w:val="22"/>
              </w:rPr>
              <w:t>吹田市新公会計制度</w:t>
            </w:r>
          </w:p>
        </w:tc>
      </w:tr>
      <w:tr w:rsidR="003F33F7" w:rsidRPr="003F33F7" w:rsidTr="003F33F7">
        <w:trPr>
          <w:cantSplit/>
          <w:jc w:val="center"/>
        </w:trPr>
        <w:tc>
          <w:tcPr>
            <w:tcW w:w="1384" w:type="dxa"/>
            <w:shd w:val="clear" w:color="auto" w:fill="auto"/>
          </w:tcPr>
          <w:p w:rsidR="003F33F7" w:rsidRPr="003F33F7" w:rsidRDefault="003F33F7" w:rsidP="00A2205C">
            <w:pPr>
              <w:ind w:right="-2"/>
              <w:rPr>
                <w:rFonts w:ascii="ＭＳ ゴシック" w:eastAsia="ＭＳ ゴシック" w:hAnsi="ＭＳ ゴシック" w:hint="eastAsia"/>
                <w:sz w:val="22"/>
              </w:rPr>
            </w:pPr>
            <w:r w:rsidRPr="003F33F7">
              <w:rPr>
                <w:rFonts w:ascii="ＭＳ ゴシック" w:eastAsia="ＭＳ ゴシック" w:hAnsi="ＭＳ ゴシック" w:hint="eastAsia"/>
                <w:sz w:val="22"/>
              </w:rPr>
              <w:t>作成の単位</w:t>
            </w:r>
          </w:p>
        </w:tc>
        <w:tc>
          <w:tcPr>
            <w:tcW w:w="4072" w:type="dxa"/>
            <w:shd w:val="clear" w:color="auto" w:fill="auto"/>
          </w:tcPr>
          <w:p w:rsidR="003F33F7" w:rsidRPr="003F33F7" w:rsidRDefault="003F33F7" w:rsidP="00A2205C">
            <w:pPr>
              <w:ind w:right="-2"/>
              <w:rPr>
                <w:rFonts w:ascii="ＭＳ ゴシック" w:eastAsia="ＭＳ ゴシック" w:hAnsi="ＭＳ ゴシック" w:hint="eastAsia"/>
                <w:sz w:val="22"/>
              </w:rPr>
            </w:pPr>
            <w:r w:rsidRPr="003F33F7">
              <w:rPr>
                <w:rFonts w:ascii="ＭＳ ゴシック" w:eastAsia="ＭＳ ゴシック" w:hAnsi="ＭＳ ゴシック" w:hint="eastAsia"/>
                <w:sz w:val="22"/>
              </w:rPr>
              <w:t>一般会計及び公営事業会計以外の特別会計（地方公共団体の財政の健全化に関する法律第２条第１号に規定する「一般会計等」）を「一般会計等財務書類」として作成するため、吹田市新公会計制度の「各会計合算財務諸表」のうち、国民健康保険、下水道、介護保険、後期高齢者医療の各事業は含めない。それらは、水道事業と合わせて「全体財務書類」に含む。</w:t>
            </w:r>
          </w:p>
        </w:tc>
        <w:tc>
          <w:tcPr>
            <w:tcW w:w="3864" w:type="dxa"/>
          </w:tcPr>
          <w:p w:rsidR="003F33F7" w:rsidRPr="003F33F7" w:rsidRDefault="003F33F7" w:rsidP="00A2205C">
            <w:pPr>
              <w:ind w:right="-2"/>
              <w:rPr>
                <w:rFonts w:ascii="ＭＳ ゴシック" w:eastAsia="ＭＳ ゴシック" w:hAnsi="ＭＳ ゴシック" w:hint="eastAsia"/>
                <w:sz w:val="22"/>
              </w:rPr>
            </w:pPr>
            <w:r w:rsidRPr="003F33F7">
              <w:rPr>
                <w:rFonts w:ascii="ＭＳ ゴシック" w:eastAsia="ＭＳ ゴシック" w:hAnsi="ＭＳ ゴシック" w:hint="eastAsia"/>
                <w:sz w:val="22"/>
              </w:rPr>
              <w:t>一般会計及び吹田市特別会計条例に規定する特別会計それぞれについて作成し、それらを合算したものを「各会計合算財務諸表」として作成（歳入歳出決算の範囲と同じ）</w:t>
            </w:r>
          </w:p>
          <w:p w:rsidR="003F33F7" w:rsidRPr="003F33F7" w:rsidRDefault="003F33F7" w:rsidP="00A2205C">
            <w:pPr>
              <w:ind w:right="-2"/>
              <w:rPr>
                <w:rFonts w:ascii="ＭＳ ゴシック" w:eastAsia="ＭＳ ゴシック" w:hAnsi="ＭＳ ゴシック" w:hint="eastAsia"/>
                <w:sz w:val="22"/>
              </w:rPr>
            </w:pPr>
          </w:p>
        </w:tc>
      </w:tr>
      <w:tr w:rsidR="003F33F7" w:rsidRPr="003F33F7" w:rsidTr="003F33F7">
        <w:trPr>
          <w:cantSplit/>
          <w:jc w:val="center"/>
        </w:trPr>
        <w:tc>
          <w:tcPr>
            <w:tcW w:w="1384" w:type="dxa"/>
            <w:shd w:val="clear" w:color="auto" w:fill="auto"/>
          </w:tcPr>
          <w:p w:rsidR="003F33F7" w:rsidRPr="003F33F7" w:rsidRDefault="003F33F7" w:rsidP="00A2205C">
            <w:pPr>
              <w:ind w:right="-2"/>
              <w:rPr>
                <w:rFonts w:ascii="ＭＳ ゴシック" w:eastAsia="ＭＳ ゴシック" w:hAnsi="ＭＳ ゴシック" w:hint="eastAsia"/>
                <w:sz w:val="22"/>
              </w:rPr>
            </w:pPr>
            <w:r w:rsidRPr="003F33F7">
              <w:rPr>
                <w:rFonts w:ascii="ＭＳ ゴシック" w:eastAsia="ＭＳ ゴシック" w:hAnsi="ＭＳ ゴシック" w:hint="eastAsia"/>
                <w:sz w:val="22"/>
              </w:rPr>
              <w:t>有形固定資産計上基準</w:t>
            </w:r>
          </w:p>
        </w:tc>
        <w:tc>
          <w:tcPr>
            <w:tcW w:w="4072" w:type="dxa"/>
            <w:shd w:val="clear" w:color="auto" w:fill="auto"/>
          </w:tcPr>
          <w:p w:rsidR="003F33F7" w:rsidRPr="003F33F7" w:rsidRDefault="003F33F7" w:rsidP="00A2205C">
            <w:pPr>
              <w:ind w:right="-2"/>
              <w:rPr>
                <w:rFonts w:ascii="ＭＳ ゴシック" w:eastAsia="ＭＳ ゴシック" w:hAnsi="ＭＳ ゴシック" w:hint="eastAsia"/>
                <w:sz w:val="22"/>
              </w:rPr>
            </w:pPr>
            <w:r w:rsidRPr="003F33F7">
              <w:rPr>
                <w:rFonts w:ascii="ＭＳ ゴシック" w:eastAsia="ＭＳ ゴシック" w:hAnsi="ＭＳ ゴシック" w:hint="eastAsia"/>
                <w:sz w:val="22"/>
              </w:rPr>
              <w:t>取得原価が判明しているものは原則として取得原価とし、取得原価が不明なものは原則として再調達原価。ただし、道路、河川及び水路の敷地については、昭和59年度以前に取得したもの、取得原価が不明なもの、無償で移管を受けたものは原則として備忘価額１円。</w:t>
            </w:r>
          </w:p>
        </w:tc>
        <w:tc>
          <w:tcPr>
            <w:tcW w:w="3864" w:type="dxa"/>
          </w:tcPr>
          <w:p w:rsidR="003F33F7" w:rsidRPr="003F33F7" w:rsidRDefault="003F33F7" w:rsidP="00A2205C">
            <w:pPr>
              <w:ind w:right="-2"/>
              <w:rPr>
                <w:rFonts w:ascii="ＭＳ ゴシック" w:eastAsia="ＭＳ ゴシック" w:hAnsi="ＭＳ ゴシック" w:hint="eastAsia"/>
                <w:sz w:val="22"/>
              </w:rPr>
            </w:pPr>
            <w:r w:rsidRPr="003F33F7">
              <w:rPr>
                <w:rFonts w:ascii="ＭＳ ゴシック" w:eastAsia="ＭＳ ゴシック" w:hAnsi="ＭＳ ゴシック" w:hint="eastAsia"/>
                <w:sz w:val="22"/>
              </w:rPr>
              <w:t>原則として取得原価。ただし、交換、受贈等により取得した資産は公正な評価額。</w:t>
            </w:r>
          </w:p>
        </w:tc>
      </w:tr>
      <w:tr w:rsidR="003F33F7" w:rsidRPr="003F33F7" w:rsidTr="003F33F7">
        <w:trPr>
          <w:cantSplit/>
          <w:jc w:val="center"/>
        </w:trPr>
        <w:tc>
          <w:tcPr>
            <w:tcW w:w="1384" w:type="dxa"/>
            <w:shd w:val="clear" w:color="auto" w:fill="auto"/>
          </w:tcPr>
          <w:p w:rsidR="003F33F7" w:rsidRPr="003F33F7" w:rsidRDefault="003F33F7" w:rsidP="00A2205C">
            <w:pPr>
              <w:ind w:right="-2"/>
              <w:rPr>
                <w:rFonts w:ascii="ＭＳ ゴシック" w:eastAsia="ＭＳ ゴシック" w:hAnsi="ＭＳ ゴシック" w:hint="eastAsia"/>
                <w:sz w:val="22"/>
              </w:rPr>
            </w:pPr>
            <w:r w:rsidRPr="003F33F7">
              <w:rPr>
                <w:rFonts w:ascii="ＭＳ ゴシック" w:eastAsia="ＭＳ ゴシック" w:hAnsi="ＭＳ ゴシック" w:hint="eastAsia"/>
                <w:sz w:val="22"/>
              </w:rPr>
              <w:t>市税収入等の表示区分</w:t>
            </w:r>
          </w:p>
        </w:tc>
        <w:tc>
          <w:tcPr>
            <w:tcW w:w="4072" w:type="dxa"/>
            <w:shd w:val="clear" w:color="auto" w:fill="auto"/>
            <w:vAlign w:val="center"/>
          </w:tcPr>
          <w:p w:rsidR="003F33F7" w:rsidRPr="003F33F7" w:rsidRDefault="003F33F7" w:rsidP="00A2205C">
            <w:pPr>
              <w:ind w:right="-2"/>
              <w:rPr>
                <w:rFonts w:ascii="ＭＳ ゴシック" w:eastAsia="ＭＳ ゴシック" w:hAnsi="ＭＳ ゴシック" w:hint="eastAsia"/>
                <w:sz w:val="22"/>
              </w:rPr>
            </w:pPr>
            <w:r w:rsidRPr="003F33F7">
              <w:rPr>
                <w:rFonts w:ascii="ＭＳ ゴシック" w:eastAsia="ＭＳ ゴシック" w:hAnsi="ＭＳ ゴシック" w:hint="eastAsia"/>
                <w:sz w:val="22"/>
              </w:rPr>
              <w:t>純資産変動計算書に「財源」として表示</w:t>
            </w:r>
          </w:p>
        </w:tc>
        <w:tc>
          <w:tcPr>
            <w:tcW w:w="3864" w:type="dxa"/>
            <w:vAlign w:val="center"/>
          </w:tcPr>
          <w:p w:rsidR="003F33F7" w:rsidRPr="003F33F7" w:rsidRDefault="003F33F7" w:rsidP="00A2205C">
            <w:pPr>
              <w:ind w:right="-2"/>
              <w:rPr>
                <w:rFonts w:ascii="ＭＳ ゴシック" w:eastAsia="ＭＳ ゴシック" w:hAnsi="ＭＳ ゴシック" w:hint="eastAsia"/>
                <w:sz w:val="22"/>
              </w:rPr>
            </w:pPr>
            <w:r w:rsidRPr="003F33F7">
              <w:rPr>
                <w:rFonts w:ascii="ＭＳ ゴシック" w:eastAsia="ＭＳ ゴシック" w:hAnsi="ＭＳ ゴシック" w:hint="eastAsia"/>
                <w:sz w:val="22"/>
              </w:rPr>
              <w:t>行政コスト計算書の「経常収支の部」に表示</w:t>
            </w:r>
          </w:p>
        </w:tc>
      </w:tr>
      <w:tr w:rsidR="003F33F7" w:rsidRPr="003F33F7" w:rsidTr="003F33F7">
        <w:trPr>
          <w:cantSplit/>
          <w:trHeight w:val="330"/>
          <w:jc w:val="center"/>
        </w:trPr>
        <w:tc>
          <w:tcPr>
            <w:tcW w:w="1384" w:type="dxa"/>
            <w:shd w:val="clear" w:color="auto" w:fill="auto"/>
          </w:tcPr>
          <w:p w:rsidR="003F33F7" w:rsidRPr="003F33F7" w:rsidRDefault="003F33F7" w:rsidP="00A2205C">
            <w:pPr>
              <w:ind w:right="-2"/>
              <w:rPr>
                <w:rFonts w:ascii="ＭＳ ゴシック" w:eastAsia="ＭＳ ゴシック" w:hAnsi="ＭＳ ゴシック" w:hint="eastAsia"/>
                <w:sz w:val="22"/>
              </w:rPr>
            </w:pPr>
            <w:r w:rsidRPr="003F33F7">
              <w:rPr>
                <w:rFonts w:ascii="ＭＳ ゴシック" w:eastAsia="ＭＳ ゴシック" w:hAnsi="ＭＳ ゴシック" w:hint="eastAsia"/>
                <w:sz w:val="22"/>
              </w:rPr>
              <w:t>出資金の減損</w:t>
            </w:r>
          </w:p>
        </w:tc>
        <w:tc>
          <w:tcPr>
            <w:tcW w:w="4072" w:type="dxa"/>
            <w:shd w:val="clear" w:color="auto" w:fill="auto"/>
          </w:tcPr>
          <w:p w:rsidR="003F33F7" w:rsidRPr="003F33F7" w:rsidRDefault="003F33F7" w:rsidP="00A2205C">
            <w:pPr>
              <w:ind w:right="-2"/>
              <w:rPr>
                <w:rFonts w:ascii="ＭＳ ゴシック" w:eastAsia="ＭＳ ゴシック" w:hAnsi="ＭＳ ゴシック" w:hint="eastAsia"/>
                <w:sz w:val="22"/>
              </w:rPr>
            </w:pPr>
            <w:r w:rsidRPr="003F33F7">
              <w:rPr>
                <w:rFonts w:ascii="ＭＳ ゴシック" w:eastAsia="ＭＳ ゴシック" w:hAnsi="ＭＳ ゴシック" w:hint="eastAsia"/>
                <w:sz w:val="22"/>
              </w:rPr>
              <w:t>実質価額等が資産価額に比べ３０％以上低下した場合に実施</w:t>
            </w:r>
          </w:p>
        </w:tc>
        <w:tc>
          <w:tcPr>
            <w:tcW w:w="3864" w:type="dxa"/>
          </w:tcPr>
          <w:p w:rsidR="003F33F7" w:rsidRPr="003F33F7" w:rsidRDefault="003F33F7" w:rsidP="00A2205C">
            <w:pPr>
              <w:ind w:right="-2"/>
              <w:rPr>
                <w:rFonts w:ascii="ＭＳ ゴシック" w:eastAsia="ＭＳ ゴシック" w:hAnsi="ＭＳ ゴシック" w:hint="eastAsia"/>
                <w:sz w:val="22"/>
              </w:rPr>
            </w:pPr>
            <w:r w:rsidRPr="003F33F7">
              <w:rPr>
                <w:rFonts w:ascii="ＭＳ ゴシック" w:eastAsia="ＭＳ ゴシック" w:hAnsi="ＭＳ ゴシック" w:hint="eastAsia"/>
                <w:sz w:val="22"/>
              </w:rPr>
              <w:t>実質価額等が資産価額に比べ５０％以上低下した場合に実施</w:t>
            </w:r>
          </w:p>
        </w:tc>
      </w:tr>
      <w:tr w:rsidR="003F33F7" w:rsidRPr="003F33F7" w:rsidTr="003F33F7">
        <w:trPr>
          <w:cantSplit/>
          <w:trHeight w:val="315"/>
          <w:jc w:val="center"/>
        </w:trPr>
        <w:tc>
          <w:tcPr>
            <w:tcW w:w="1384" w:type="dxa"/>
            <w:shd w:val="clear" w:color="auto" w:fill="auto"/>
            <w:vAlign w:val="center"/>
          </w:tcPr>
          <w:p w:rsidR="003F33F7" w:rsidRPr="003F33F7" w:rsidRDefault="003F33F7" w:rsidP="00A2205C">
            <w:pPr>
              <w:rPr>
                <w:rFonts w:ascii="ＭＳ ゴシック" w:eastAsia="ＭＳ ゴシック" w:hAnsi="ＭＳ ゴシック" w:hint="eastAsia"/>
                <w:sz w:val="22"/>
              </w:rPr>
            </w:pPr>
            <w:r w:rsidRPr="003F33F7">
              <w:rPr>
                <w:rFonts w:ascii="ＭＳ ゴシック" w:eastAsia="ＭＳ ゴシック" w:hAnsi="ＭＳ ゴシック" w:hint="eastAsia"/>
                <w:sz w:val="22"/>
              </w:rPr>
              <w:t>公園に係る資産の区分</w:t>
            </w:r>
          </w:p>
        </w:tc>
        <w:tc>
          <w:tcPr>
            <w:tcW w:w="4072" w:type="dxa"/>
            <w:shd w:val="clear" w:color="auto" w:fill="auto"/>
            <w:vAlign w:val="center"/>
          </w:tcPr>
          <w:p w:rsidR="003F33F7" w:rsidRPr="003F33F7" w:rsidRDefault="003F33F7" w:rsidP="00A2205C">
            <w:pPr>
              <w:rPr>
                <w:rFonts w:ascii="ＭＳ ゴシック" w:eastAsia="ＭＳ ゴシック" w:hAnsi="ＭＳ ゴシック" w:hint="eastAsia"/>
                <w:sz w:val="22"/>
              </w:rPr>
            </w:pPr>
            <w:r w:rsidRPr="003F33F7">
              <w:rPr>
                <w:rFonts w:ascii="ＭＳ ゴシック" w:eastAsia="ＭＳ ゴシック" w:hAnsi="ＭＳ ゴシック" w:hint="eastAsia"/>
                <w:sz w:val="22"/>
              </w:rPr>
              <w:t>インフラ資産に区分</w:t>
            </w:r>
          </w:p>
        </w:tc>
        <w:tc>
          <w:tcPr>
            <w:tcW w:w="3864" w:type="dxa"/>
            <w:vAlign w:val="center"/>
          </w:tcPr>
          <w:p w:rsidR="003F33F7" w:rsidRPr="003F33F7" w:rsidRDefault="003F33F7" w:rsidP="00A2205C">
            <w:pPr>
              <w:rPr>
                <w:rFonts w:ascii="ＭＳ ゴシック" w:eastAsia="ＭＳ ゴシック" w:hAnsi="ＭＳ ゴシック" w:hint="eastAsia"/>
                <w:sz w:val="22"/>
              </w:rPr>
            </w:pPr>
            <w:r w:rsidRPr="003F33F7">
              <w:rPr>
                <w:rFonts w:ascii="ＭＳ ゴシック" w:eastAsia="ＭＳ ゴシック" w:hAnsi="ＭＳ ゴシック" w:hint="eastAsia"/>
                <w:sz w:val="22"/>
              </w:rPr>
              <w:t>事業用資産に区分</w:t>
            </w:r>
          </w:p>
        </w:tc>
      </w:tr>
      <w:tr w:rsidR="003F33F7" w:rsidRPr="003F33F7" w:rsidTr="003F33F7">
        <w:trPr>
          <w:cantSplit/>
          <w:trHeight w:val="300"/>
          <w:jc w:val="center"/>
        </w:trPr>
        <w:tc>
          <w:tcPr>
            <w:tcW w:w="1384" w:type="dxa"/>
            <w:shd w:val="clear" w:color="auto" w:fill="auto"/>
            <w:vAlign w:val="center"/>
          </w:tcPr>
          <w:p w:rsidR="003F33F7" w:rsidRPr="003F33F7" w:rsidRDefault="003F33F7" w:rsidP="00A2205C">
            <w:pPr>
              <w:rPr>
                <w:rFonts w:ascii="ＭＳ ゴシック" w:eastAsia="ＭＳ ゴシック" w:hAnsi="ＭＳ ゴシック" w:hint="eastAsia"/>
                <w:sz w:val="22"/>
              </w:rPr>
            </w:pPr>
            <w:r w:rsidRPr="003F33F7">
              <w:rPr>
                <w:rFonts w:ascii="ＭＳ ゴシック" w:eastAsia="ＭＳ ゴシック" w:hAnsi="ＭＳ ゴシック" w:hint="eastAsia"/>
                <w:sz w:val="22"/>
              </w:rPr>
              <w:t>負債勘定</w:t>
            </w:r>
          </w:p>
        </w:tc>
        <w:tc>
          <w:tcPr>
            <w:tcW w:w="4072" w:type="dxa"/>
            <w:shd w:val="clear" w:color="auto" w:fill="auto"/>
            <w:vAlign w:val="center"/>
          </w:tcPr>
          <w:p w:rsidR="003F33F7" w:rsidRPr="003F33F7" w:rsidRDefault="003F33F7" w:rsidP="00A2205C">
            <w:pPr>
              <w:rPr>
                <w:rFonts w:ascii="ＭＳ ゴシック" w:eastAsia="ＭＳ ゴシック" w:hAnsi="ＭＳ ゴシック" w:hint="eastAsia"/>
                <w:sz w:val="22"/>
              </w:rPr>
            </w:pPr>
            <w:r w:rsidRPr="003F33F7">
              <w:rPr>
                <w:rFonts w:ascii="ＭＳ ゴシック" w:eastAsia="ＭＳ ゴシック" w:hAnsi="ＭＳ ゴシック" w:hint="eastAsia"/>
                <w:sz w:val="22"/>
              </w:rPr>
              <w:t>投資損失引当金、損失補償等引当金は計上する</w:t>
            </w:r>
          </w:p>
        </w:tc>
        <w:tc>
          <w:tcPr>
            <w:tcW w:w="3864" w:type="dxa"/>
            <w:vAlign w:val="center"/>
          </w:tcPr>
          <w:p w:rsidR="003F33F7" w:rsidRPr="003F33F7" w:rsidRDefault="003F33F7" w:rsidP="00A2205C">
            <w:pPr>
              <w:rPr>
                <w:rFonts w:ascii="ＭＳ ゴシック" w:eastAsia="ＭＳ ゴシック" w:hAnsi="ＭＳ ゴシック" w:hint="eastAsia"/>
                <w:sz w:val="22"/>
              </w:rPr>
            </w:pPr>
            <w:r w:rsidRPr="003F33F7">
              <w:rPr>
                <w:rFonts w:ascii="ＭＳ ゴシック" w:eastAsia="ＭＳ ゴシック" w:hAnsi="ＭＳ ゴシック" w:hint="eastAsia"/>
                <w:sz w:val="22"/>
              </w:rPr>
              <w:t>投資損失引当金、損失補償等引当金は計上しない</w:t>
            </w:r>
          </w:p>
        </w:tc>
      </w:tr>
      <w:tr w:rsidR="003F33F7" w:rsidRPr="003F33F7" w:rsidTr="003F33F7">
        <w:trPr>
          <w:cantSplit/>
          <w:trHeight w:val="360"/>
          <w:jc w:val="center"/>
        </w:trPr>
        <w:tc>
          <w:tcPr>
            <w:tcW w:w="1384" w:type="dxa"/>
            <w:shd w:val="clear" w:color="auto" w:fill="auto"/>
          </w:tcPr>
          <w:p w:rsidR="003F33F7" w:rsidRPr="003F33F7" w:rsidRDefault="003F33F7" w:rsidP="00A2205C">
            <w:pPr>
              <w:ind w:right="-2"/>
              <w:rPr>
                <w:rFonts w:ascii="ＭＳ ゴシック" w:eastAsia="ＭＳ ゴシック" w:hAnsi="ＭＳ ゴシック" w:hint="eastAsia"/>
                <w:sz w:val="22"/>
              </w:rPr>
            </w:pPr>
            <w:r w:rsidRPr="003F33F7">
              <w:rPr>
                <w:rFonts w:ascii="ＭＳ ゴシック" w:eastAsia="ＭＳ ゴシック" w:hAnsi="ＭＳ ゴシック" w:hint="eastAsia"/>
                <w:sz w:val="22"/>
              </w:rPr>
              <w:t>貸借対照表の表示</w:t>
            </w:r>
          </w:p>
        </w:tc>
        <w:tc>
          <w:tcPr>
            <w:tcW w:w="4072" w:type="dxa"/>
            <w:shd w:val="clear" w:color="auto" w:fill="auto"/>
            <w:vAlign w:val="center"/>
          </w:tcPr>
          <w:p w:rsidR="003F33F7" w:rsidRPr="003F33F7" w:rsidRDefault="003F33F7" w:rsidP="00A2205C">
            <w:pPr>
              <w:ind w:right="-2"/>
              <w:rPr>
                <w:rFonts w:ascii="ＭＳ ゴシック" w:eastAsia="ＭＳ ゴシック" w:hAnsi="ＭＳ ゴシック" w:hint="eastAsia"/>
                <w:sz w:val="22"/>
              </w:rPr>
            </w:pPr>
            <w:r w:rsidRPr="003F33F7">
              <w:rPr>
                <w:rFonts w:ascii="ＭＳ ゴシック" w:eastAsia="ＭＳ ゴシック" w:hAnsi="ＭＳ ゴシック" w:hint="eastAsia"/>
                <w:sz w:val="22"/>
              </w:rPr>
              <w:t>固定性配列法による</w:t>
            </w:r>
          </w:p>
        </w:tc>
        <w:tc>
          <w:tcPr>
            <w:tcW w:w="3864" w:type="dxa"/>
            <w:vAlign w:val="center"/>
          </w:tcPr>
          <w:p w:rsidR="003F33F7" w:rsidRPr="003F33F7" w:rsidRDefault="003F33F7" w:rsidP="00A2205C">
            <w:pPr>
              <w:ind w:right="-2"/>
              <w:rPr>
                <w:rFonts w:ascii="ＭＳ ゴシック" w:eastAsia="ＭＳ ゴシック" w:hAnsi="ＭＳ ゴシック" w:hint="eastAsia"/>
                <w:sz w:val="22"/>
              </w:rPr>
            </w:pPr>
            <w:r w:rsidRPr="003F33F7">
              <w:rPr>
                <w:rFonts w:ascii="ＭＳ ゴシック" w:eastAsia="ＭＳ ゴシック" w:hAnsi="ＭＳ ゴシック" w:hint="eastAsia"/>
                <w:sz w:val="22"/>
              </w:rPr>
              <w:t>流動性配列法による</w:t>
            </w:r>
          </w:p>
        </w:tc>
      </w:tr>
    </w:tbl>
    <w:p w:rsidR="00216447" w:rsidRDefault="00216447"/>
    <w:sectPr w:rsidR="00216447" w:rsidSect="003F33F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3F7" w:rsidRDefault="003F33F7" w:rsidP="003F33F7">
      <w:r>
        <w:separator/>
      </w:r>
    </w:p>
  </w:endnote>
  <w:endnote w:type="continuationSeparator" w:id="0">
    <w:p w:rsidR="003F33F7" w:rsidRDefault="003F33F7" w:rsidP="003F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3F7" w:rsidRDefault="003F33F7" w:rsidP="003F33F7">
      <w:r>
        <w:separator/>
      </w:r>
    </w:p>
  </w:footnote>
  <w:footnote w:type="continuationSeparator" w:id="0">
    <w:p w:rsidR="003F33F7" w:rsidRDefault="003F33F7" w:rsidP="003F3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F1"/>
    <w:rsid w:val="00216447"/>
    <w:rsid w:val="003F33F7"/>
    <w:rsid w:val="00551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3F7"/>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3F7"/>
    <w:pPr>
      <w:tabs>
        <w:tab w:val="center" w:pos="4252"/>
        <w:tab w:val="right" w:pos="8504"/>
      </w:tabs>
      <w:snapToGrid w:val="0"/>
    </w:pPr>
  </w:style>
  <w:style w:type="character" w:customStyle="1" w:styleId="a4">
    <w:name w:val="ヘッダー (文字)"/>
    <w:basedOn w:val="a0"/>
    <w:link w:val="a3"/>
    <w:uiPriority w:val="99"/>
    <w:rsid w:val="003F33F7"/>
  </w:style>
  <w:style w:type="paragraph" w:styleId="a5">
    <w:name w:val="footer"/>
    <w:basedOn w:val="a"/>
    <w:link w:val="a6"/>
    <w:uiPriority w:val="99"/>
    <w:unhideWhenUsed/>
    <w:rsid w:val="003F33F7"/>
    <w:pPr>
      <w:tabs>
        <w:tab w:val="center" w:pos="4252"/>
        <w:tab w:val="right" w:pos="8504"/>
      </w:tabs>
      <w:snapToGrid w:val="0"/>
    </w:pPr>
  </w:style>
  <w:style w:type="character" w:customStyle="1" w:styleId="a6">
    <w:name w:val="フッター (文字)"/>
    <w:basedOn w:val="a0"/>
    <w:link w:val="a5"/>
    <w:uiPriority w:val="99"/>
    <w:rsid w:val="003F33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3F7"/>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3F7"/>
    <w:pPr>
      <w:tabs>
        <w:tab w:val="center" w:pos="4252"/>
        <w:tab w:val="right" w:pos="8504"/>
      </w:tabs>
      <w:snapToGrid w:val="0"/>
    </w:pPr>
  </w:style>
  <w:style w:type="character" w:customStyle="1" w:styleId="a4">
    <w:name w:val="ヘッダー (文字)"/>
    <w:basedOn w:val="a0"/>
    <w:link w:val="a3"/>
    <w:uiPriority w:val="99"/>
    <w:rsid w:val="003F33F7"/>
  </w:style>
  <w:style w:type="paragraph" w:styleId="a5">
    <w:name w:val="footer"/>
    <w:basedOn w:val="a"/>
    <w:link w:val="a6"/>
    <w:uiPriority w:val="99"/>
    <w:unhideWhenUsed/>
    <w:rsid w:val="003F33F7"/>
    <w:pPr>
      <w:tabs>
        <w:tab w:val="center" w:pos="4252"/>
        <w:tab w:val="right" w:pos="8504"/>
      </w:tabs>
      <w:snapToGrid w:val="0"/>
    </w:pPr>
  </w:style>
  <w:style w:type="character" w:customStyle="1" w:styleId="a6">
    <w:name w:val="フッター (文字)"/>
    <w:basedOn w:val="a0"/>
    <w:link w:val="a5"/>
    <w:uiPriority w:val="99"/>
    <w:rsid w:val="003F3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吹田市役所</dc:creator>
  <cp:keywords/>
  <dc:description/>
  <cp:lastModifiedBy>吹田市役所</cp:lastModifiedBy>
  <cp:revision>2</cp:revision>
  <dcterms:created xsi:type="dcterms:W3CDTF">2017-12-05T05:18:00Z</dcterms:created>
  <dcterms:modified xsi:type="dcterms:W3CDTF">2017-12-05T05:22:00Z</dcterms:modified>
</cp:coreProperties>
</file>