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23791C" w:rsidP="0023791C">
      <w:pPr>
        <w:jc w:val="lef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（様式</w:t>
      </w:r>
      <w:r w:rsidR="00D6281C">
        <w:rPr>
          <w:rFonts w:ascii="ＭＳ ゴシック" w:eastAsia="ＭＳ ゴシック" w:hAnsi="ＭＳ ゴシック" w:hint="eastAsia"/>
          <w:sz w:val="18"/>
          <w:szCs w:val="18"/>
        </w:rPr>
        <w:t>第</w:t>
      </w:r>
      <w:r w:rsidRPr="0023791C">
        <w:rPr>
          <w:rFonts w:ascii="ＭＳ ゴシック" w:eastAsia="ＭＳ ゴシック" w:hAnsi="ＭＳ ゴシック" w:hint="eastAsia"/>
          <w:sz w:val="18"/>
          <w:szCs w:val="18"/>
        </w:rPr>
        <w:t>８</w:t>
      </w:r>
      <w:r w:rsidR="00D6281C">
        <w:rPr>
          <w:rFonts w:ascii="ＭＳ ゴシック" w:eastAsia="ＭＳ ゴシック" w:hAnsi="ＭＳ ゴシック" w:hint="eastAsia"/>
          <w:sz w:val="18"/>
          <w:szCs w:val="18"/>
        </w:rPr>
        <w:t>号</w:t>
      </w:r>
      <w:r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bookmarkStart w:id="0" w:name="_GoBack"/>
      <w:bookmarkEnd w:id="0"/>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A6C5A"/>
    <w:rsid w:val="00627514"/>
    <w:rsid w:val="0067235E"/>
    <w:rsid w:val="006C415E"/>
    <w:rsid w:val="00787F3D"/>
    <w:rsid w:val="007E4429"/>
    <w:rsid w:val="007E6DDA"/>
    <w:rsid w:val="009812FA"/>
    <w:rsid w:val="00990696"/>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23856"/>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橋田　直樹</cp:lastModifiedBy>
  <cp:revision>2</cp:revision>
  <dcterms:created xsi:type="dcterms:W3CDTF">2020-01-09T05:12:00Z</dcterms:created>
  <dcterms:modified xsi:type="dcterms:W3CDTF">2020-01-09T05:13:00Z</dcterms:modified>
</cp:coreProperties>
</file>