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11" w:rsidRPr="008C044A" w:rsidRDefault="00852FEF" w:rsidP="008C044A">
      <w:pPr>
        <w:jc w:val="center"/>
        <w:rPr>
          <w:b/>
          <w:sz w:val="28"/>
        </w:rPr>
      </w:pPr>
      <w:r>
        <w:rPr>
          <w:rFonts w:hint="eastAsia"/>
          <w:b/>
          <w:sz w:val="28"/>
        </w:rPr>
        <w:t>長期優良住宅認定</w:t>
      </w:r>
      <w:r w:rsidR="00FE23DF" w:rsidRPr="008C044A">
        <w:rPr>
          <w:rFonts w:hint="eastAsia"/>
          <w:b/>
          <w:sz w:val="28"/>
        </w:rPr>
        <w:t>における居住環境及び災害配慮基準の取扱い一部改正</w:t>
      </w:r>
      <w:r w:rsidR="008C044A">
        <w:rPr>
          <w:rFonts w:hint="eastAsia"/>
          <w:b/>
          <w:sz w:val="28"/>
        </w:rPr>
        <w:t>案</w:t>
      </w:r>
    </w:p>
    <w:p w:rsidR="00FE23DF" w:rsidRDefault="00FE23DF"/>
    <w:p w:rsidR="00FE23DF" w:rsidRDefault="00FE23DF">
      <w:r>
        <w:rPr>
          <w:rFonts w:hint="eastAsia"/>
        </w:rPr>
        <w:t>１　改正理由</w:t>
      </w:r>
    </w:p>
    <w:p w:rsidR="00FE23DF" w:rsidRDefault="00FE23DF">
      <w:r>
        <w:rPr>
          <w:rFonts w:hint="eastAsia"/>
        </w:rPr>
        <w:t xml:space="preserve">　令和４年２月２０日に改正される長期優良住宅の普及の促進に関する法律において災害配慮基準が定められたため、長期優良住宅認定申請における審査基準を改正します。</w:t>
      </w:r>
    </w:p>
    <w:p w:rsidR="00FE23DF" w:rsidRDefault="00FE23DF"/>
    <w:p w:rsidR="00FE23DF" w:rsidRDefault="00FE23DF">
      <w:r>
        <w:rPr>
          <w:rFonts w:hint="eastAsia"/>
        </w:rPr>
        <w:t xml:space="preserve">２　</w:t>
      </w:r>
      <w:r w:rsidR="00852FEF">
        <w:rPr>
          <w:rFonts w:hint="eastAsia"/>
        </w:rPr>
        <w:t>長期優良住宅認定</w:t>
      </w:r>
      <w:r>
        <w:rPr>
          <w:rFonts w:hint="eastAsia"/>
        </w:rPr>
        <w:t>における居住環境及び災害配慮基準の取扱い　現行・改正案対照表</w:t>
      </w:r>
    </w:p>
    <w:p w:rsidR="00FE23DF" w:rsidRPr="00FE23DF" w:rsidRDefault="00FE23DF" w:rsidP="00FE23DF">
      <w:pPr>
        <w:jc w:val="right"/>
      </w:pPr>
      <w:r w:rsidRPr="00FE23DF">
        <w:rPr>
          <w:rFonts w:hint="eastAsia"/>
          <w:u w:val="single"/>
        </w:rPr>
        <w:t xml:space="preserve">　　　</w:t>
      </w:r>
      <w:r w:rsidRPr="00FE23DF">
        <w:rPr>
          <w:rFonts w:hint="eastAsia"/>
        </w:rPr>
        <w:t>は</w:t>
      </w:r>
      <w:r>
        <w:rPr>
          <w:rFonts w:hint="eastAsia"/>
        </w:rPr>
        <w:t>改正箇所</w:t>
      </w:r>
    </w:p>
    <w:tbl>
      <w:tblPr>
        <w:tblStyle w:val="a3"/>
        <w:tblW w:w="0" w:type="auto"/>
        <w:tblLook w:val="04A0" w:firstRow="1" w:lastRow="0" w:firstColumn="1" w:lastColumn="0" w:noHBand="0" w:noVBand="1"/>
      </w:tblPr>
      <w:tblGrid>
        <w:gridCol w:w="7334"/>
        <w:gridCol w:w="7334"/>
      </w:tblGrid>
      <w:tr w:rsidR="00FE23DF" w:rsidTr="00FE23DF">
        <w:tc>
          <w:tcPr>
            <w:tcW w:w="7334" w:type="dxa"/>
          </w:tcPr>
          <w:p w:rsidR="00FE23DF" w:rsidRPr="00BE7EEC" w:rsidRDefault="00C1604E" w:rsidP="00BE7EEC">
            <w:pPr>
              <w:jc w:val="center"/>
            </w:pPr>
            <w:r w:rsidRPr="00BE7EEC">
              <w:rPr>
                <w:rFonts w:hint="eastAsia"/>
              </w:rPr>
              <w:t>現行</w:t>
            </w:r>
          </w:p>
        </w:tc>
        <w:tc>
          <w:tcPr>
            <w:tcW w:w="7334" w:type="dxa"/>
          </w:tcPr>
          <w:p w:rsidR="00FE23DF" w:rsidRPr="00BE7EEC" w:rsidRDefault="00C1604E" w:rsidP="00BE7EEC">
            <w:pPr>
              <w:jc w:val="center"/>
            </w:pPr>
            <w:r w:rsidRPr="00BE7EEC">
              <w:rPr>
                <w:rFonts w:hint="eastAsia"/>
              </w:rPr>
              <w:t>改正案</w:t>
            </w:r>
          </w:p>
        </w:tc>
      </w:tr>
      <w:tr w:rsidR="00FE23DF" w:rsidTr="00FE23DF">
        <w:tc>
          <w:tcPr>
            <w:tcW w:w="7334" w:type="dxa"/>
          </w:tcPr>
          <w:p w:rsidR="00FE23DF" w:rsidRDefault="00C1604E">
            <w:pPr>
              <w:rPr>
                <w:u w:val="single"/>
              </w:rPr>
            </w:pPr>
            <w:bookmarkStart w:id="0" w:name="_GoBack"/>
            <w:r w:rsidRPr="00852FEF">
              <w:rPr>
                <w:rFonts w:hint="eastAsia"/>
                <w:u w:val="single"/>
              </w:rPr>
              <w:t>吹田市</w:t>
            </w:r>
            <w:bookmarkEnd w:id="0"/>
            <w:r w:rsidRPr="00BE7EEC">
              <w:rPr>
                <w:rFonts w:hint="eastAsia"/>
              </w:rPr>
              <w:t>における</w:t>
            </w:r>
            <w:r>
              <w:rPr>
                <w:rFonts w:hint="eastAsia"/>
                <w:u w:val="single"/>
              </w:rPr>
              <w:t>居住環境基準の取り扱い</w:t>
            </w:r>
          </w:p>
          <w:p w:rsidR="00C1604E" w:rsidRDefault="00C1604E">
            <w:pPr>
              <w:rPr>
                <w:u w:val="single"/>
              </w:rPr>
            </w:pPr>
          </w:p>
          <w:p w:rsidR="00BE7EEC" w:rsidRDefault="00BE7EEC">
            <w:r>
              <w:rPr>
                <w:rFonts w:hint="eastAsia"/>
              </w:rPr>
              <w:t>・居住環境基準</w:t>
            </w:r>
          </w:p>
          <w:p w:rsidR="00BE7EEC" w:rsidRDefault="00BE7EEC">
            <w:r>
              <w:rPr>
                <w:rFonts w:hint="eastAsia"/>
              </w:rPr>
              <w:t>（略）</w:t>
            </w:r>
          </w:p>
          <w:p w:rsidR="00BE7EEC" w:rsidRPr="00BE7EEC" w:rsidRDefault="00BE7EEC">
            <w:pPr>
              <w:rPr>
                <w:u w:val="single"/>
              </w:rPr>
            </w:pPr>
            <w:r>
              <w:rPr>
                <w:rFonts w:hint="eastAsia"/>
                <w:u w:val="single"/>
              </w:rPr>
              <w:t>新規</w:t>
            </w:r>
          </w:p>
        </w:tc>
        <w:tc>
          <w:tcPr>
            <w:tcW w:w="7334" w:type="dxa"/>
          </w:tcPr>
          <w:p w:rsidR="00BE7EEC" w:rsidRDefault="00852FEF" w:rsidP="00BE7EEC">
            <w:pPr>
              <w:rPr>
                <w:u w:val="single"/>
              </w:rPr>
            </w:pPr>
            <w:r w:rsidRPr="00852FEF">
              <w:rPr>
                <w:rFonts w:hint="eastAsia"/>
                <w:u w:val="single"/>
              </w:rPr>
              <w:t>長期優良住宅認定</w:t>
            </w:r>
            <w:r w:rsidR="00BE7EEC" w:rsidRPr="00BE7EEC">
              <w:rPr>
                <w:rFonts w:hint="eastAsia"/>
              </w:rPr>
              <w:t>における</w:t>
            </w:r>
            <w:r w:rsidR="00BE7EEC">
              <w:rPr>
                <w:rFonts w:hint="eastAsia"/>
                <w:u w:val="single"/>
              </w:rPr>
              <w:t>居住環境及び災害配慮基準の取扱い</w:t>
            </w:r>
          </w:p>
          <w:p w:rsidR="00FE23DF" w:rsidRDefault="00FE23DF">
            <w:pPr>
              <w:rPr>
                <w:u w:val="single"/>
              </w:rPr>
            </w:pPr>
          </w:p>
          <w:p w:rsidR="00BE7EEC" w:rsidRDefault="00BE7EEC" w:rsidP="00BE7EEC">
            <w:r>
              <w:rPr>
                <w:rFonts w:hint="eastAsia"/>
              </w:rPr>
              <w:t>・居住環境基準</w:t>
            </w:r>
          </w:p>
          <w:p w:rsidR="00BE7EEC" w:rsidRDefault="00BE7EEC" w:rsidP="00BE7EEC">
            <w:r>
              <w:rPr>
                <w:rFonts w:hint="eastAsia"/>
              </w:rPr>
              <w:t>（略）</w:t>
            </w:r>
          </w:p>
          <w:p w:rsidR="00BE7EEC" w:rsidRDefault="00BE7EEC" w:rsidP="00BE7EEC">
            <w:pPr>
              <w:rPr>
                <w:u w:val="single"/>
              </w:rPr>
            </w:pPr>
            <w:r>
              <w:rPr>
                <w:rFonts w:hint="eastAsia"/>
                <w:u w:val="single"/>
              </w:rPr>
              <w:t>・災害配慮基準</w:t>
            </w:r>
          </w:p>
          <w:p w:rsidR="00BE7EEC" w:rsidRPr="00BE7EEC" w:rsidRDefault="00BE7EEC" w:rsidP="00BE7EEC">
            <w:pPr>
              <w:rPr>
                <w:u w:val="single"/>
              </w:rPr>
            </w:pPr>
          </w:p>
          <w:p w:rsidR="00A43502" w:rsidRPr="00A43502" w:rsidRDefault="00A43502" w:rsidP="00A43502">
            <w:pPr>
              <w:rPr>
                <w:u w:val="single"/>
              </w:rPr>
            </w:pPr>
            <w:r w:rsidRPr="00A43502">
              <w:rPr>
                <w:u w:val="single"/>
              </w:rPr>
              <w:t>6．認定することができない地域</w:t>
            </w:r>
          </w:p>
          <w:p w:rsidR="00A43502" w:rsidRPr="00A43502" w:rsidRDefault="00A43502" w:rsidP="00A43502">
            <w:pPr>
              <w:rPr>
                <w:u w:val="single"/>
              </w:rPr>
            </w:pPr>
            <w:r w:rsidRPr="00A43502">
              <w:rPr>
                <w:rFonts w:hint="eastAsia"/>
                <w:u w:val="single"/>
              </w:rPr>
              <w:t>○認定申請対象住宅が、以下に掲げる区域内に建築される場合においては、原則認定はできません。</w:t>
            </w:r>
            <w:r w:rsidRPr="00A43502">
              <w:rPr>
                <w:u w:val="single"/>
              </w:rPr>
              <w:t>ただし、宅地の安全化を図る開発行為等により、区域の指定が解除されることが決定している場合又は近い将来解除されることが確実と見込まれる場合にあっては、この限りではありません。</w:t>
            </w:r>
          </w:p>
          <w:p w:rsidR="00A43502" w:rsidRPr="00A43502" w:rsidRDefault="00A43502" w:rsidP="00A43502">
            <w:pPr>
              <w:rPr>
                <w:u w:val="single"/>
              </w:rPr>
            </w:pPr>
            <w:r w:rsidRPr="00A43502">
              <w:rPr>
                <w:u w:val="single"/>
              </w:rPr>
              <w:t xml:space="preserve"> (1)地すべり等防止法（昭和33年法律第30号）第3条第1項の規定により指定された地すべり防止区域</w:t>
            </w:r>
          </w:p>
          <w:p w:rsidR="00A43502" w:rsidRPr="00A43502" w:rsidRDefault="00A43502" w:rsidP="00A43502">
            <w:pPr>
              <w:rPr>
                <w:u w:val="single"/>
              </w:rPr>
            </w:pPr>
            <w:r w:rsidRPr="00A43502">
              <w:rPr>
                <w:u w:val="single"/>
              </w:rPr>
              <w:t xml:space="preserve"> (2)急傾斜地の崩壊による災害の防止に関する法律（昭和44年法律第57号）</w:t>
            </w:r>
            <w:r w:rsidRPr="00A43502">
              <w:rPr>
                <w:u w:val="single"/>
              </w:rPr>
              <w:lastRenderedPageBreak/>
              <w:t>第3条第1項の規定により指定された急傾斜地崩壊危険区域</w:t>
            </w:r>
          </w:p>
          <w:p w:rsidR="00A43502" w:rsidRPr="00A43502" w:rsidRDefault="00A43502" w:rsidP="00A43502">
            <w:pPr>
              <w:rPr>
                <w:u w:val="single"/>
              </w:rPr>
            </w:pPr>
            <w:r w:rsidRPr="00A43502">
              <w:rPr>
                <w:u w:val="single"/>
              </w:rPr>
              <w:t xml:space="preserve"> (3)土砂災害警戒区域等における土砂災害防止対策の推進に関する法律（平成12年法律第57号）第9条第1項の規定により指定された土砂災害特別警戒区域</w:t>
            </w:r>
          </w:p>
          <w:p w:rsidR="00A43502" w:rsidRPr="00A43502" w:rsidRDefault="00A43502" w:rsidP="00A43502">
            <w:pPr>
              <w:rPr>
                <w:u w:val="single"/>
              </w:rPr>
            </w:pPr>
          </w:p>
          <w:p w:rsidR="00A43502" w:rsidRPr="00A43502" w:rsidRDefault="00A43502" w:rsidP="00A43502">
            <w:pPr>
              <w:rPr>
                <w:u w:val="single"/>
              </w:rPr>
            </w:pPr>
            <w:r w:rsidRPr="00A43502">
              <w:rPr>
                <w:u w:val="single"/>
              </w:rPr>
              <w:t>7．建築に関する制限の基準に適合するものであることが求められる区域</w:t>
            </w:r>
          </w:p>
          <w:p w:rsidR="00A43502" w:rsidRPr="00A43502" w:rsidRDefault="00A43502" w:rsidP="00A43502">
            <w:pPr>
              <w:rPr>
                <w:u w:val="single"/>
              </w:rPr>
            </w:pPr>
            <w:r w:rsidRPr="00A43502">
              <w:rPr>
                <w:rFonts w:hint="eastAsia"/>
                <w:u w:val="single"/>
              </w:rPr>
              <w:t>○認定申請対象住宅が、以下に掲げる区域内に建築される場合、長期優良住宅の基準とは別で、それぞれの基準に適合しなければならない。</w:t>
            </w:r>
          </w:p>
          <w:p w:rsidR="00A43502" w:rsidRPr="00A43502" w:rsidRDefault="00A43502" w:rsidP="00A43502">
            <w:pPr>
              <w:rPr>
                <w:u w:val="single"/>
              </w:rPr>
            </w:pPr>
            <w:r w:rsidRPr="00A43502">
              <w:rPr>
                <w:u w:val="single"/>
              </w:rPr>
              <w:t xml:space="preserve"> (1)建築基準法（昭和25年法律第201号）第39条第1項の規定により指定された災害危険区域</w:t>
            </w:r>
          </w:p>
          <w:p w:rsidR="00A43502" w:rsidRPr="00A43502" w:rsidRDefault="00A43502" w:rsidP="00A43502">
            <w:pPr>
              <w:rPr>
                <w:u w:val="single"/>
              </w:rPr>
            </w:pPr>
            <w:r w:rsidRPr="00A43502">
              <w:rPr>
                <w:u w:val="single"/>
              </w:rPr>
              <w:t xml:space="preserve"> (2)津波</w:t>
            </w:r>
            <w:r w:rsidRPr="00A43502">
              <w:rPr>
                <w:rFonts w:hint="eastAsia"/>
                <w:u w:val="single"/>
              </w:rPr>
              <w:t>防災地域</w:t>
            </w:r>
            <w:r w:rsidRPr="00A43502">
              <w:rPr>
                <w:u w:val="single"/>
              </w:rPr>
              <w:t>づくりに関する法律（平成23年法律第123号）第72条第1項に規定する津波災害特別警戒区域</w:t>
            </w:r>
          </w:p>
          <w:p w:rsidR="00A43502" w:rsidRPr="00A43502" w:rsidRDefault="00A43502" w:rsidP="00A43502">
            <w:pPr>
              <w:rPr>
                <w:u w:val="single"/>
              </w:rPr>
            </w:pPr>
            <w:r w:rsidRPr="00A43502">
              <w:rPr>
                <w:u w:val="single"/>
              </w:rPr>
              <w:t xml:space="preserve"> (3)特定都市河川浸水災害対策法（平成15年法律第77号）第56条第1項に規定する浸水被害防止区域</w:t>
            </w:r>
          </w:p>
          <w:p w:rsidR="00A43502" w:rsidRPr="00A43502" w:rsidRDefault="00A43502" w:rsidP="00A43502">
            <w:pPr>
              <w:rPr>
                <w:u w:val="single"/>
              </w:rPr>
            </w:pPr>
          </w:p>
          <w:p w:rsidR="00A43502" w:rsidRPr="00A43502" w:rsidRDefault="00A43502" w:rsidP="00A43502">
            <w:pPr>
              <w:rPr>
                <w:u w:val="single"/>
              </w:rPr>
            </w:pPr>
            <w:r w:rsidRPr="00A43502">
              <w:rPr>
                <w:rFonts w:hint="eastAsia"/>
                <w:u w:val="single"/>
              </w:rPr>
              <w:t>８．災害発生後の復旧に係る計画</w:t>
            </w:r>
          </w:p>
          <w:p w:rsidR="00A43502" w:rsidRPr="00A43502" w:rsidRDefault="00A43502" w:rsidP="00A43502">
            <w:pPr>
              <w:rPr>
                <w:u w:val="single"/>
              </w:rPr>
            </w:pPr>
            <w:r w:rsidRPr="00A43502">
              <w:rPr>
                <w:rFonts w:hint="eastAsia"/>
                <w:u w:val="single"/>
              </w:rPr>
              <w:t>○認定申請対象住宅の長期優良住宅建築等計画にあっては、法第６条第１項第５号イに規定する維持保全の方法に加えて、自然災害の発生後に臨時点検を実施し、当該住宅を長期にわたり良好な状態で使用するため、その点検結果を踏まえ、調査、消毒、修繕又は改良を行うこととされていること。</w:t>
            </w:r>
          </w:p>
          <w:p w:rsidR="00A43502" w:rsidRPr="00A43502" w:rsidRDefault="00A43502" w:rsidP="00A43502">
            <w:pPr>
              <w:rPr>
                <w:u w:val="single"/>
              </w:rPr>
            </w:pPr>
          </w:p>
          <w:p w:rsidR="00E239A0" w:rsidRPr="00E239A0" w:rsidRDefault="00E239A0" w:rsidP="00E239A0">
            <w:pPr>
              <w:ind w:firstLineChars="100" w:firstLine="210"/>
              <w:rPr>
                <w:u w:val="single"/>
              </w:rPr>
            </w:pPr>
            <w:r w:rsidRPr="00E239A0">
              <w:rPr>
                <w:rFonts w:hint="eastAsia"/>
                <w:u w:val="single"/>
              </w:rPr>
              <w:t>備考</w:t>
            </w:r>
          </w:p>
          <w:p w:rsidR="00E239A0" w:rsidRPr="00E239A0" w:rsidRDefault="00E239A0" w:rsidP="00E239A0">
            <w:pPr>
              <w:ind w:leftChars="100" w:left="210" w:firstLineChars="100" w:firstLine="210"/>
              <w:rPr>
                <w:u w:val="single"/>
              </w:rPr>
            </w:pPr>
            <w:r w:rsidRPr="00E239A0">
              <w:rPr>
                <w:rFonts w:hint="eastAsia"/>
                <w:u w:val="single"/>
              </w:rPr>
              <w:t>第８項で規定する自然災害とは、第</w:t>
            </w:r>
            <w:r w:rsidRPr="00E239A0">
              <w:rPr>
                <w:u w:val="single"/>
              </w:rPr>
              <w:t>7項各号で指定される区域における</w:t>
            </w:r>
            <w:r w:rsidRPr="00E239A0">
              <w:rPr>
                <w:rFonts w:hint="eastAsia"/>
                <w:u w:val="single"/>
              </w:rPr>
              <w:t>次</w:t>
            </w:r>
            <w:r w:rsidRPr="00E239A0">
              <w:rPr>
                <w:u w:val="single"/>
              </w:rPr>
              <w:t>の自然災害とする。</w:t>
            </w:r>
          </w:p>
          <w:p w:rsidR="00E239A0" w:rsidRPr="00E239A0" w:rsidRDefault="00E239A0" w:rsidP="00E239A0">
            <w:pPr>
              <w:ind w:leftChars="200" w:left="630" w:hangingChars="100" w:hanging="210"/>
              <w:rPr>
                <w:u w:val="single"/>
              </w:rPr>
            </w:pPr>
            <w:r w:rsidRPr="00E239A0">
              <w:rPr>
                <w:rFonts w:hint="eastAsia"/>
                <w:u w:val="single"/>
              </w:rPr>
              <w:t>⑴　第７項第１号で指定される区域にあっては、当該区域において危険</w:t>
            </w:r>
            <w:r w:rsidRPr="00E239A0">
              <w:rPr>
                <w:rFonts w:hint="eastAsia"/>
                <w:u w:val="single"/>
              </w:rPr>
              <w:lastRenderedPageBreak/>
              <w:t>が著しいとされる災害</w:t>
            </w:r>
          </w:p>
          <w:p w:rsidR="00E239A0" w:rsidRPr="00E239A0" w:rsidRDefault="00E239A0" w:rsidP="00E239A0">
            <w:pPr>
              <w:ind w:firstLineChars="200" w:firstLine="420"/>
              <w:rPr>
                <w:u w:val="single"/>
              </w:rPr>
            </w:pPr>
            <w:r w:rsidRPr="00E239A0">
              <w:rPr>
                <w:rFonts w:hint="eastAsia"/>
                <w:u w:val="single"/>
              </w:rPr>
              <w:t>⑵　第７項第２号で指定される区域にあっては、津波による災害</w:t>
            </w:r>
          </w:p>
          <w:p w:rsidR="00BE7EEC" w:rsidRPr="00E239A0" w:rsidRDefault="00E239A0" w:rsidP="00E239A0">
            <w:pPr>
              <w:ind w:leftChars="200" w:left="630" w:hangingChars="100" w:hanging="210"/>
              <w:rPr>
                <w:color w:val="FF0000"/>
                <w:u w:val="single"/>
              </w:rPr>
            </w:pPr>
            <w:r w:rsidRPr="00E239A0">
              <w:rPr>
                <w:rFonts w:hint="eastAsia"/>
                <w:u w:val="single"/>
              </w:rPr>
              <w:t>⑶　第７項第３号で指定される区域にあっては、洪水又は雨水出水による災害</w:t>
            </w:r>
          </w:p>
        </w:tc>
      </w:tr>
    </w:tbl>
    <w:p w:rsidR="00FE23DF" w:rsidRPr="00FE23DF" w:rsidRDefault="00FE23DF">
      <w:pPr>
        <w:rPr>
          <w:u w:val="single"/>
        </w:rPr>
      </w:pPr>
    </w:p>
    <w:sectPr w:rsidR="00FE23DF" w:rsidRPr="00FE23DF" w:rsidSect="00FE23D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02" w:rsidRDefault="00A43502" w:rsidP="00A43502">
      <w:r>
        <w:separator/>
      </w:r>
    </w:p>
  </w:endnote>
  <w:endnote w:type="continuationSeparator" w:id="0">
    <w:p w:rsidR="00A43502" w:rsidRDefault="00A43502" w:rsidP="00A4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02" w:rsidRDefault="00A43502" w:rsidP="00A43502">
      <w:r>
        <w:separator/>
      </w:r>
    </w:p>
  </w:footnote>
  <w:footnote w:type="continuationSeparator" w:id="0">
    <w:p w:rsidR="00A43502" w:rsidRDefault="00A43502" w:rsidP="00A4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76D17"/>
    <w:multiLevelType w:val="hybridMultilevel"/>
    <w:tmpl w:val="8C2636C6"/>
    <w:lvl w:ilvl="0" w:tplc="B840F50E">
      <w:start w:val="1"/>
      <w:numFmt w:val="decimal"/>
      <w:lvlText w:val="（%1）"/>
      <w:lvlJc w:val="left"/>
      <w:pPr>
        <w:ind w:left="360" w:hanging="360"/>
      </w:pPr>
      <w:rPr>
        <w:rFonts w:asciiTheme="minorHAnsi" w:eastAsiaTheme="minorEastAsia" w:hAnsiTheme="minorHAnsi"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DF"/>
    <w:rsid w:val="000A687C"/>
    <w:rsid w:val="00815711"/>
    <w:rsid w:val="00852FEF"/>
    <w:rsid w:val="008C044A"/>
    <w:rsid w:val="00A43502"/>
    <w:rsid w:val="00BE7EEC"/>
    <w:rsid w:val="00C1604E"/>
    <w:rsid w:val="00DA0018"/>
    <w:rsid w:val="00E239A0"/>
    <w:rsid w:val="00FE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9119EE"/>
  <w15:chartTrackingRefBased/>
  <w15:docId w15:val="{F398AE66-07B7-4964-9D47-3DCD87C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044A"/>
    <w:rPr>
      <w:rFonts w:asciiTheme="majorHAnsi" w:eastAsiaTheme="majorEastAsia" w:hAnsiTheme="majorHAnsi" w:cstheme="majorBidi"/>
      <w:sz w:val="18"/>
      <w:szCs w:val="18"/>
    </w:rPr>
  </w:style>
  <w:style w:type="paragraph" w:styleId="a6">
    <w:name w:val="header"/>
    <w:basedOn w:val="a"/>
    <w:link w:val="a7"/>
    <w:uiPriority w:val="99"/>
    <w:unhideWhenUsed/>
    <w:rsid w:val="00A43502"/>
    <w:pPr>
      <w:tabs>
        <w:tab w:val="center" w:pos="4252"/>
        <w:tab w:val="right" w:pos="8504"/>
      </w:tabs>
      <w:snapToGrid w:val="0"/>
    </w:pPr>
  </w:style>
  <w:style w:type="character" w:customStyle="1" w:styleId="a7">
    <w:name w:val="ヘッダー (文字)"/>
    <w:basedOn w:val="a0"/>
    <w:link w:val="a6"/>
    <w:uiPriority w:val="99"/>
    <w:rsid w:val="00A43502"/>
  </w:style>
  <w:style w:type="paragraph" w:styleId="a8">
    <w:name w:val="footer"/>
    <w:basedOn w:val="a"/>
    <w:link w:val="a9"/>
    <w:uiPriority w:val="99"/>
    <w:unhideWhenUsed/>
    <w:rsid w:val="00A43502"/>
    <w:pPr>
      <w:tabs>
        <w:tab w:val="center" w:pos="4252"/>
        <w:tab w:val="right" w:pos="8504"/>
      </w:tabs>
      <w:snapToGrid w:val="0"/>
    </w:pPr>
  </w:style>
  <w:style w:type="character" w:customStyle="1" w:styleId="a9">
    <w:name w:val="フッター (文字)"/>
    <w:basedOn w:val="a0"/>
    <w:link w:val="a8"/>
    <w:uiPriority w:val="99"/>
    <w:rsid w:val="00A43502"/>
  </w:style>
  <w:style w:type="paragraph" w:styleId="aa">
    <w:name w:val="List Paragraph"/>
    <w:basedOn w:val="a"/>
    <w:uiPriority w:val="34"/>
    <w:qFormat/>
    <w:rsid w:val="00A43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7370">
      <w:bodyDiv w:val="1"/>
      <w:marLeft w:val="0"/>
      <w:marRight w:val="0"/>
      <w:marTop w:val="0"/>
      <w:marBottom w:val="0"/>
      <w:divBdr>
        <w:top w:val="none" w:sz="0" w:space="0" w:color="auto"/>
        <w:left w:val="none" w:sz="0" w:space="0" w:color="auto"/>
        <w:bottom w:val="none" w:sz="0" w:space="0" w:color="auto"/>
        <w:right w:val="none" w:sz="0" w:space="0" w:color="auto"/>
      </w:divBdr>
      <w:divsChild>
        <w:div w:id="33817183">
          <w:marLeft w:val="0"/>
          <w:marRight w:val="0"/>
          <w:marTop w:val="0"/>
          <w:marBottom w:val="0"/>
          <w:divBdr>
            <w:top w:val="none" w:sz="0" w:space="0" w:color="auto"/>
            <w:left w:val="none" w:sz="0" w:space="0" w:color="auto"/>
            <w:bottom w:val="none" w:sz="0" w:space="0" w:color="auto"/>
            <w:right w:val="none" w:sz="0" w:space="0" w:color="auto"/>
          </w:divBdr>
          <w:divsChild>
            <w:div w:id="1018503447">
              <w:marLeft w:val="0"/>
              <w:marRight w:val="0"/>
              <w:marTop w:val="0"/>
              <w:marBottom w:val="0"/>
              <w:divBdr>
                <w:top w:val="none" w:sz="0" w:space="0" w:color="auto"/>
                <w:left w:val="none" w:sz="0" w:space="0" w:color="auto"/>
                <w:bottom w:val="none" w:sz="0" w:space="0" w:color="auto"/>
                <w:right w:val="none" w:sz="0" w:space="0" w:color="auto"/>
              </w:divBdr>
              <w:divsChild>
                <w:div w:id="708459809">
                  <w:marLeft w:val="0"/>
                  <w:marRight w:val="0"/>
                  <w:marTop w:val="0"/>
                  <w:marBottom w:val="0"/>
                  <w:divBdr>
                    <w:top w:val="none" w:sz="0" w:space="0" w:color="auto"/>
                    <w:left w:val="none" w:sz="0" w:space="0" w:color="auto"/>
                    <w:bottom w:val="none" w:sz="0" w:space="0" w:color="auto"/>
                    <w:right w:val="none" w:sz="0" w:space="0" w:color="auto"/>
                  </w:divBdr>
                  <w:divsChild>
                    <w:div w:id="229462196">
                      <w:marLeft w:val="0"/>
                      <w:marRight w:val="0"/>
                      <w:marTop w:val="0"/>
                      <w:marBottom w:val="0"/>
                      <w:divBdr>
                        <w:top w:val="none" w:sz="0" w:space="0" w:color="auto"/>
                        <w:left w:val="none" w:sz="0" w:space="0" w:color="auto"/>
                        <w:bottom w:val="none" w:sz="0" w:space="0" w:color="auto"/>
                        <w:right w:val="none" w:sz="0" w:space="0" w:color="auto"/>
                      </w:divBdr>
                      <w:divsChild>
                        <w:div w:id="1510097581">
                          <w:marLeft w:val="0"/>
                          <w:marRight w:val="0"/>
                          <w:marTop w:val="0"/>
                          <w:marBottom w:val="0"/>
                          <w:divBdr>
                            <w:top w:val="none" w:sz="0" w:space="0" w:color="auto"/>
                            <w:left w:val="none" w:sz="0" w:space="0" w:color="auto"/>
                            <w:bottom w:val="none" w:sz="0" w:space="0" w:color="auto"/>
                            <w:right w:val="none" w:sz="0" w:space="0" w:color="auto"/>
                          </w:divBdr>
                          <w:divsChild>
                            <w:div w:id="769472465">
                              <w:marLeft w:val="0"/>
                              <w:marRight w:val="0"/>
                              <w:marTop w:val="0"/>
                              <w:marBottom w:val="0"/>
                              <w:divBdr>
                                <w:top w:val="none" w:sz="0" w:space="0" w:color="auto"/>
                                <w:left w:val="none" w:sz="0" w:space="0" w:color="auto"/>
                                <w:bottom w:val="none" w:sz="0" w:space="0" w:color="auto"/>
                                <w:right w:val="none" w:sz="0" w:space="0" w:color="auto"/>
                              </w:divBdr>
                              <w:divsChild>
                                <w:div w:id="172964883">
                                  <w:marLeft w:val="0"/>
                                  <w:marRight w:val="0"/>
                                  <w:marTop w:val="0"/>
                                  <w:marBottom w:val="0"/>
                                  <w:divBdr>
                                    <w:top w:val="none" w:sz="0" w:space="0" w:color="auto"/>
                                    <w:left w:val="none" w:sz="0" w:space="0" w:color="auto"/>
                                    <w:bottom w:val="none" w:sz="0" w:space="0" w:color="auto"/>
                                    <w:right w:val="none" w:sz="0" w:space="0" w:color="auto"/>
                                  </w:divBdr>
                                  <w:divsChild>
                                    <w:div w:id="639532908">
                                      <w:marLeft w:val="0"/>
                                      <w:marRight w:val="0"/>
                                      <w:marTop w:val="0"/>
                                      <w:marBottom w:val="0"/>
                                      <w:divBdr>
                                        <w:top w:val="none" w:sz="0" w:space="0" w:color="auto"/>
                                        <w:left w:val="none" w:sz="0" w:space="0" w:color="auto"/>
                                        <w:bottom w:val="none" w:sz="0" w:space="0" w:color="auto"/>
                                        <w:right w:val="none" w:sz="0" w:space="0" w:color="auto"/>
                                      </w:divBdr>
                                      <w:divsChild>
                                        <w:div w:id="1421832704">
                                          <w:marLeft w:val="0"/>
                                          <w:marRight w:val="0"/>
                                          <w:marTop w:val="0"/>
                                          <w:marBottom w:val="0"/>
                                          <w:divBdr>
                                            <w:top w:val="none" w:sz="0" w:space="0" w:color="auto"/>
                                            <w:left w:val="none" w:sz="0" w:space="0" w:color="auto"/>
                                            <w:bottom w:val="none" w:sz="0" w:space="0" w:color="auto"/>
                                            <w:right w:val="none" w:sz="0" w:space="0" w:color="auto"/>
                                          </w:divBdr>
                                          <w:divsChild>
                                            <w:div w:id="1694720583">
                                              <w:marLeft w:val="0"/>
                                              <w:marRight w:val="0"/>
                                              <w:marTop w:val="0"/>
                                              <w:marBottom w:val="0"/>
                                              <w:divBdr>
                                                <w:top w:val="none" w:sz="0" w:space="0" w:color="auto"/>
                                                <w:left w:val="none" w:sz="0" w:space="0" w:color="auto"/>
                                                <w:bottom w:val="none" w:sz="0" w:space="0" w:color="auto"/>
                                                <w:right w:val="none" w:sz="0" w:space="0" w:color="auto"/>
                                              </w:divBdr>
                                              <w:divsChild>
                                                <w:div w:id="2131438634">
                                                  <w:marLeft w:val="0"/>
                                                  <w:marRight w:val="0"/>
                                                  <w:marTop w:val="0"/>
                                                  <w:marBottom w:val="0"/>
                                                  <w:divBdr>
                                                    <w:top w:val="none" w:sz="0" w:space="0" w:color="auto"/>
                                                    <w:left w:val="none" w:sz="0" w:space="0" w:color="auto"/>
                                                    <w:bottom w:val="none" w:sz="0" w:space="0" w:color="auto"/>
                                                    <w:right w:val="none" w:sz="0" w:space="0" w:color="auto"/>
                                                  </w:divBdr>
                                                  <w:divsChild>
                                                    <w:div w:id="1040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0FBE-0075-46F7-87AA-6C846B1E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雄太</dc:creator>
  <cp:keywords/>
  <dc:description/>
  <cp:lastModifiedBy>岡田 雄太</cp:lastModifiedBy>
  <cp:revision>3</cp:revision>
  <cp:lastPrinted>2021-12-13T02:38:00Z</cp:lastPrinted>
  <dcterms:created xsi:type="dcterms:W3CDTF">2021-12-09T00:11:00Z</dcterms:created>
  <dcterms:modified xsi:type="dcterms:W3CDTF">2021-12-13T02:38:00Z</dcterms:modified>
</cp:coreProperties>
</file>