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F7" w:rsidRDefault="003F33F7" w:rsidP="003F33F7">
      <w:pPr>
        <w:ind w:right="-2"/>
        <w:jc w:val="center"/>
        <w:rPr>
          <w:rFonts w:ascii="ＭＳ ゴシック" w:eastAsia="ＭＳ ゴシック" w:hAnsi="ＭＳ ゴシック"/>
          <w:sz w:val="22"/>
        </w:rPr>
      </w:pPr>
      <w:r w:rsidRPr="003F33F7">
        <w:rPr>
          <w:rFonts w:ascii="ＭＳ ゴシック" w:eastAsia="ＭＳ ゴシック" w:hAnsi="ＭＳ ゴシック" w:hint="eastAsia"/>
          <w:sz w:val="22"/>
        </w:rPr>
        <w:t>統一的な基準と吹田市新公会計制度の違い</w:t>
      </w:r>
    </w:p>
    <w:p w:rsidR="003F33F7" w:rsidRPr="003F33F7" w:rsidRDefault="003F33F7" w:rsidP="003F33F7">
      <w:pPr>
        <w:ind w:right="-2"/>
        <w:jc w:val="center"/>
        <w:rPr>
          <w:rFonts w:ascii="ＭＳ ゴシック" w:eastAsia="ＭＳ ゴシック" w:hAnsi="ＭＳ ゴシック"/>
          <w:sz w:val="22"/>
        </w:rPr>
      </w:pPr>
    </w:p>
    <w:p w:rsidR="003F33F7" w:rsidRPr="0044455D" w:rsidRDefault="003F33F7" w:rsidP="003F33F7">
      <w:pPr>
        <w:ind w:right="-2"/>
        <w:rPr>
          <w:szCs w:val="21"/>
        </w:rPr>
      </w:pPr>
    </w:p>
    <w:tbl>
      <w:tblPr>
        <w:tblW w:w="9320"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72"/>
        <w:gridCol w:w="3864"/>
      </w:tblGrid>
      <w:tr w:rsidR="003F33F7" w:rsidRPr="003F33F7" w:rsidTr="003F33F7">
        <w:trPr>
          <w:cantSplit/>
          <w:jc w:val="center"/>
        </w:trPr>
        <w:tc>
          <w:tcPr>
            <w:tcW w:w="1384" w:type="dxa"/>
            <w:shd w:val="clear" w:color="auto" w:fill="auto"/>
          </w:tcPr>
          <w:p w:rsidR="003F33F7" w:rsidRPr="003F33F7" w:rsidRDefault="003F33F7" w:rsidP="00A2205C">
            <w:pPr>
              <w:ind w:right="-2"/>
              <w:jc w:val="center"/>
              <w:rPr>
                <w:rFonts w:ascii="ＭＳ ゴシック" w:eastAsia="ＭＳ ゴシック" w:hAnsi="ＭＳ ゴシック"/>
                <w:sz w:val="22"/>
              </w:rPr>
            </w:pPr>
            <w:r w:rsidRPr="003F33F7">
              <w:rPr>
                <w:rFonts w:ascii="ＭＳ ゴシック" w:eastAsia="ＭＳ ゴシック" w:hAnsi="ＭＳ ゴシック" w:hint="eastAsia"/>
                <w:sz w:val="22"/>
              </w:rPr>
              <w:t>区分</w:t>
            </w:r>
          </w:p>
        </w:tc>
        <w:tc>
          <w:tcPr>
            <w:tcW w:w="4072" w:type="dxa"/>
            <w:shd w:val="clear" w:color="auto" w:fill="auto"/>
          </w:tcPr>
          <w:p w:rsidR="003F33F7" w:rsidRPr="003F33F7" w:rsidRDefault="003F33F7" w:rsidP="00A2205C">
            <w:pPr>
              <w:ind w:right="-2"/>
              <w:jc w:val="center"/>
              <w:rPr>
                <w:rFonts w:ascii="ＭＳ ゴシック" w:eastAsia="ＭＳ ゴシック" w:hAnsi="ＭＳ ゴシック"/>
                <w:sz w:val="22"/>
              </w:rPr>
            </w:pPr>
            <w:r>
              <w:rPr>
                <w:rFonts w:ascii="ＭＳ ゴシック" w:eastAsia="ＭＳ ゴシック" w:hAnsi="ＭＳ ゴシック" w:hint="eastAsia"/>
                <w:sz w:val="22"/>
              </w:rPr>
              <w:t>統一的な基準</w:t>
            </w:r>
          </w:p>
        </w:tc>
        <w:tc>
          <w:tcPr>
            <w:tcW w:w="3864" w:type="dxa"/>
          </w:tcPr>
          <w:p w:rsidR="003F33F7" w:rsidRPr="003F33F7" w:rsidRDefault="003F33F7" w:rsidP="00A2205C">
            <w:pPr>
              <w:ind w:right="-2"/>
              <w:jc w:val="center"/>
              <w:rPr>
                <w:rFonts w:ascii="ＭＳ ゴシック" w:eastAsia="ＭＳ ゴシック" w:hAnsi="ＭＳ ゴシック"/>
                <w:sz w:val="22"/>
              </w:rPr>
            </w:pPr>
            <w:r>
              <w:rPr>
                <w:rFonts w:ascii="ＭＳ ゴシック" w:eastAsia="ＭＳ ゴシック" w:hAnsi="ＭＳ ゴシック" w:hint="eastAsia"/>
                <w:sz w:val="22"/>
              </w:rPr>
              <w:t>吹田市新公会計制度</w:t>
            </w:r>
          </w:p>
        </w:tc>
      </w:tr>
      <w:tr w:rsidR="003F33F7" w:rsidRPr="003F33F7" w:rsidTr="003F33F7">
        <w:trPr>
          <w:cantSplit/>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作成の単位</w:t>
            </w:r>
          </w:p>
        </w:tc>
        <w:tc>
          <w:tcPr>
            <w:tcW w:w="4072" w:type="dxa"/>
            <w:shd w:val="clear" w:color="auto" w:fill="auto"/>
          </w:tcPr>
          <w:p w:rsidR="003F33F7" w:rsidRPr="003F33F7" w:rsidRDefault="003F33F7" w:rsidP="00270278">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一般会計及び公営事業会計以外の特別会計（地方公共団体の財政の健全化に関する法律第２条第１号に規定する「一般会計等」）を「一般会計等財務書類」として作成するため、吹田市新公会計制度の「各会計合算財務諸表」のうち、国民健康保険、介護保険、後期高齢者医療の各事業は含めない。それらは、水道事業</w:t>
            </w:r>
            <w:r w:rsidR="00270278">
              <w:rPr>
                <w:rFonts w:ascii="ＭＳ ゴシック" w:eastAsia="ＭＳ ゴシック" w:hAnsi="ＭＳ ゴシック" w:hint="eastAsia"/>
                <w:sz w:val="22"/>
              </w:rPr>
              <w:t>及び下水道事業</w:t>
            </w:r>
            <w:r w:rsidRPr="003F33F7">
              <w:rPr>
                <w:rFonts w:ascii="ＭＳ ゴシック" w:eastAsia="ＭＳ ゴシック" w:hAnsi="ＭＳ ゴシック" w:hint="eastAsia"/>
                <w:sz w:val="22"/>
              </w:rPr>
              <w:t>と合わせて「全体財務書類」に含む。</w:t>
            </w:r>
          </w:p>
        </w:tc>
        <w:tc>
          <w:tcPr>
            <w:tcW w:w="3864" w:type="dxa"/>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一般会計及び吹田市特別会計条例に規定する特別会計それぞれについて作成し、それらを合算したものを「各会計合算財務諸表」として作成（歳入歳出決算の範囲と同じ）</w:t>
            </w:r>
          </w:p>
          <w:p w:rsidR="003F33F7" w:rsidRPr="003F33F7" w:rsidRDefault="003F33F7" w:rsidP="00A2205C">
            <w:pPr>
              <w:ind w:right="-2"/>
              <w:rPr>
                <w:rFonts w:ascii="ＭＳ ゴシック" w:eastAsia="ＭＳ ゴシック" w:hAnsi="ＭＳ ゴシック"/>
                <w:sz w:val="22"/>
              </w:rPr>
            </w:pPr>
            <w:bookmarkStart w:id="0" w:name="_GoBack"/>
            <w:bookmarkEnd w:id="0"/>
          </w:p>
        </w:tc>
      </w:tr>
      <w:tr w:rsidR="003F33F7" w:rsidRPr="003F33F7" w:rsidTr="003F33F7">
        <w:trPr>
          <w:cantSplit/>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有形固定資産計上基準</w:t>
            </w:r>
          </w:p>
        </w:tc>
        <w:tc>
          <w:tcPr>
            <w:tcW w:w="4072"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取得原価が判明しているものは原則として取得原価とし、取得原価が不明なものは原則として再調達原価。ただし、道路、河川及び水路の敷地については、昭和59年度以前に取得したもの、取得原価が不明なもの、無償で移管を受けたものは原則として備忘価額１円。</w:t>
            </w:r>
          </w:p>
        </w:tc>
        <w:tc>
          <w:tcPr>
            <w:tcW w:w="3864" w:type="dxa"/>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原則として取得原価。ただし、交換、受贈等により取得した資産は公正な評価額。</w:t>
            </w:r>
          </w:p>
        </w:tc>
      </w:tr>
      <w:tr w:rsidR="003F33F7" w:rsidRPr="003F33F7" w:rsidTr="003F33F7">
        <w:trPr>
          <w:cantSplit/>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市税収入等の表示区分</w:t>
            </w:r>
          </w:p>
        </w:tc>
        <w:tc>
          <w:tcPr>
            <w:tcW w:w="4072" w:type="dxa"/>
            <w:shd w:val="clear" w:color="auto" w:fill="auto"/>
            <w:vAlign w:val="center"/>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純資産変動計算書に「財源」として表示</w:t>
            </w:r>
          </w:p>
        </w:tc>
        <w:tc>
          <w:tcPr>
            <w:tcW w:w="3864" w:type="dxa"/>
            <w:vAlign w:val="center"/>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行政コスト計算書の「経常収支の部」に表示</w:t>
            </w:r>
          </w:p>
        </w:tc>
      </w:tr>
      <w:tr w:rsidR="003F33F7" w:rsidRPr="003F33F7" w:rsidTr="003F33F7">
        <w:trPr>
          <w:cantSplit/>
          <w:trHeight w:val="330"/>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出資金の減損</w:t>
            </w:r>
          </w:p>
        </w:tc>
        <w:tc>
          <w:tcPr>
            <w:tcW w:w="4072"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実質価額等が資産価額に比べ３０％以上低下した場合に実施</w:t>
            </w:r>
          </w:p>
        </w:tc>
        <w:tc>
          <w:tcPr>
            <w:tcW w:w="3864" w:type="dxa"/>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実質価額等が資産価額に比べ５０％以上低下した場合に実施</w:t>
            </w:r>
          </w:p>
        </w:tc>
      </w:tr>
      <w:tr w:rsidR="003F33F7" w:rsidRPr="003F33F7" w:rsidTr="003F33F7">
        <w:trPr>
          <w:cantSplit/>
          <w:trHeight w:val="315"/>
          <w:jc w:val="center"/>
        </w:trPr>
        <w:tc>
          <w:tcPr>
            <w:tcW w:w="1384" w:type="dxa"/>
            <w:shd w:val="clear" w:color="auto" w:fill="auto"/>
            <w:vAlign w:val="center"/>
          </w:tcPr>
          <w:p w:rsidR="003F33F7" w:rsidRPr="003F33F7" w:rsidRDefault="003F33F7" w:rsidP="00A2205C">
            <w:pPr>
              <w:rPr>
                <w:rFonts w:ascii="ＭＳ ゴシック" w:eastAsia="ＭＳ ゴシック" w:hAnsi="ＭＳ ゴシック"/>
                <w:sz w:val="22"/>
              </w:rPr>
            </w:pPr>
            <w:r w:rsidRPr="003F33F7">
              <w:rPr>
                <w:rFonts w:ascii="ＭＳ ゴシック" w:eastAsia="ＭＳ ゴシック" w:hAnsi="ＭＳ ゴシック" w:hint="eastAsia"/>
                <w:sz w:val="22"/>
              </w:rPr>
              <w:t>公園に係る資産の区分</w:t>
            </w:r>
          </w:p>
        </w:tc>
        <w:tc>
          <w:tcPr>
            <w:tcW w:w="4072" w:type="dxa"/>
            <w:shd w:val="clear" w:color="auto" w:fill="auto"/>
            <w:vAlign w:val="center"/>
          </w:tcPr>
          <w:p w:rsidR="003F33F7" w:rsidRPr="003F33F7" w:rsidRDefault="003F33F7" w:rsidP="00A2205C">
            <w:pPr>
              <w:rPr>
                <w:rFonts w:ascii="ＭＳ ゴシック" w:eastAsia="ＭＳ ゴシック" w:hAnsi="ＭＳ ゴシック"/>
                <w:sz w:val="22"/>
              </w:rPr>
            </w:pPr>
            <w:r w:rsidRPr="003F33F7">
              <w:rPr>
                <w:rFonts w:ascii="ＭＳ ゴシック" w:eastAsia="ＭＳ ゴシック" w:hAnsi="ＭＳ ゴシック" w:hint="eastAsia"/>
                <w:sz w:val="22"/>
              </w:rPr>
              <w:t>インフラ資産に区分</w:t>
            </w:r>
          </w:p>
        </w:tc>
        <w:tc>
          <w:tcPr>
            <w:tcW w:w="3864" w:type="dxa"/>
            <w:vAlign w:val="center"/>
          </w:tcPr>
          <w:p w:rsidR="003F33F7" w:rsidRPr="003F33F7" w:rsidRDefault="003F33F7" w:rsidP="00A2205C">
            <w:pPr>
              <w:rPr>
                <w:rFonts w:ascii="ＭＳ ゴシック" w:eastAsia="ＭＳ ゴシック" w:hAnsi="ＭＳ ゴシック"/>
                <w:sz w:val="22"/>
              </w:rPr>
            </w:pPr>
            <w:r w:rsidRPr="003F33F7">
              <w:rPr>
                <w:rFonts w:ascii="ＭＳ ゴシック" w:eastAsia="ＭＳ ゴシック" w:hAnsi="ＭＳ ゴシック" w:hint="eastAsia"/>
                <w:sz w:val="22"/>
              </w:rPr>
              <w:t>事業用資産に区分</w:t>
            </w:r>
          </w:p>
        </w:tc>
      </w:tr>
      <w:tr w:rsidR="003F33F7" w:rsidRPr="003F33F7" w:rsidTr="003F33F7">
        <w:trPr>
          <w:cantSplit/>
          <w:trHeight w:val="300"/>
          <w:jc w:val="center"/>
        </w:trPr>
        <w:tc>
          <w:tcPr>
            <w:tcW w:w="1384" w:type="dxa"/>
            <w:shd w:val="clear" w:color="auto" w:fill="auto"/>
            <w:vAlign w:val="center"/>
          </w:tcPr>
          <w:p w:rsidR="003F33F7" w:rsidRPr="003F33F7" w:rsidRDefault="003F33F7" w:rsidP="00A2205C">
            <w:pPr>
              <w:rPr>
                <w:rFonts w:ascii="ＭＳ ゴシック" w:eastAsia="ＭＳ ゴシック" w:hAnsi="ＭＳ ゴシック"/>
                <w:sz w:val="22"/>
              </w:rPr>
            </w:pPr>
            <w:r w:rsidRPr="003F33F7">
              <w:rPr>
                <w:rFonts w:ascii="ＭＳ ゴシック" w:eastAsia="ＭＳ ゴシック" w:hAnsi="ＭＳ ゴシック" w:hint="eastAsia"/>
                <w:sz w:val="22"/>
              </w:rPr>
              <w:t>負債勘定</w:t>
            </w:r>
          </w:p>
        </w:tc>
        <w:tc>
          <w:tcPr>
            <w:tcW w:w="4072" w:type="dxa"/>
            <w:shd w:val="clear" w:color="auto" w:fill="auto"/>
            <w:vAlign w:val="center"/>
          </w:tcPr>
          <w:p w:rsidR="003F33F7" w:rsidRPr="003F33F7" w:rsidRDefault="003F33F7" w:rsidP="00A2205C">
            <w:pPr>
              <w:rPr>
                <w:rFonts w:ascii="ＭＳ ゴシック" w:eastAsia="ＭＳ ゴシック" w:hAnsi="ＭＳ ゴシック"/>
                <w:sz w:val="22"/>
              </w:rPr>
            </w:pPr>
            <w:r w:rsidRPr="003F33F7">
              <w:rPr>
                <w:rFonts w:ascii="ＭＳ ゴシック" w:eastAsia="ＭＳ ゴシック" w:hAnsi="ＭＳ ゴシック" w:hint="eastAsia"/>
                <w:sz w:val="22"/>
              </w:rPr>
              <w:t>投資損失引当金、損失補償等引当金は計上する</w:t>
            </w:r>
          </w:p>
        </w:tc>
        <w:tc>
          <w:tcPr>
            <w:tcW w:w="3864" w:type="dxa"/>
            <w:vAlign w:val="center"/>
          </w:tcPr>
          <w:p w:rsidR="003F33F7" w:rsidRPr="003F33F7" w:rsidRDefault="003F33F7" w:rsidP="00A2205C">
            <w:pPr>
              <w:rPr>
                <w:rFonts w:ascii="ＭＳ ゴシック" w:eastAsia="ＭＳ ゴシック" w:hAnsi="ＭＳ ゴシック"/>
                <w:sz w:val="22"/>
              </w:rPr>
            </w:pPr>
            <w:r w:rsidRPr="003F33F7">
              <w:rPr>
                <w:rFonts w:ascii="ＭＳ ゴシック" w:eastAsia="ＭＳ ゴシック" w:hAnsi="ＭＳ ゴシック" w:hint="eastAsia"/>
                <w:sz w:val="22"/>
              </w:rPr>
              <w:t>投資損失引当金、損失補償等引当金は計上しない</w:t>
            </w:r>
          </w:p>
        </w:tc>
      </w:tr>
      <w:tr w:rsidR="003F33F7" w:rsidRPr="003F33F7" w:rsidTr="003F33F7">
        <w:trPr>
          <w:cantSplit/>
          <w:trHeight w:val="360"/>
          <w:jc w:val="center"/>
        </w:trPr>
        <w:tc>
          <w:tcPr>
            <w:tcW w:w="1384" w:type="dxa"/>
            <w:shd w:val="clear" w:color="auto" w:fill="auto"/>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貸借対照表の表示</w:t>
            </w:r>
          </w:p>
        </w:tc>
        <w:tc>
          <w:tcPr>
            <w:tcW w:w="4072" w:type="dxa"/>
            <w:shd w:val="clear" w:color="auto" w:fill="auto"/>
            <w:vAlign w:val="center"/>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固定性配列法による</w:t>
            </w:r>
          </w:p>
        </w:tc>
        <w:tc>
          <w:tcPr>
            <w:tcW w:w="3864" w:type="dxa"/>
            <w:vAlign w:val="center"/>
          </w:tcPr>
          <w:p w:rsidR="003F33F7" w:rsidRPr="003F33F7" w:rsidRDefault="003F33F7" w:rsidP="00A2205C">
            <w:pPr>
              <w:ind w:right="-2"/>
              <w:rPr>
                <w:rFonts w:ascii="ＭＳ ゴシック" w:eastAsia="ＭＳ ゴシック" w:hAnsi="ＭＳ ゴシック"/>
                <w:sz w:val="22"/>
              </w:rPr>
            </w:pPr>
            <w:r w:rsidRPr="003F33F7">
              <w:rPr>
                <w:rFonts w:ascii="ＭＳ ゴシック" w:eastAsia="ＭＳ ゴシック" w:hAnsi="ＭＳ ゴシック" w:hint="eastAsia"/>
                <w:sz w:val="22"/>
              </w:rPr>
              <w:t>流動性配列法による</w:t>
            </w:r>
          </w:p>
        </w:tc>
      </w:tr>
    </w:tbl>
    <w:p w:rsidR="00216447" w:rsidRDefault="00216447"/>
    <w:sectPr w:rsidR="00216447" w:rsidSect="003F33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F7" w:rsidRDefault="003F33F7" w:rsidP="003F33F7">
      <w:r>
        <w:separator/>
      </w:r>
    </w:p>
  </w:endnote>
  <w:endnote w:type="continuationSeparator" w:id="0">
    <w:p w:rsidR="003F33F7" w:rsidRDefault="003F33F7" w:rsidP="003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F7" w:rsidRDefault="003F33F7" w:rsidP="003F33F7">
      <w:r>
        <w:separator/>
      </w:r>
    </w:p>
  </w:footnote>
  <w:footnote w:type="continuationSeparator" w:id="0">
    <w:p w:rsidR="003F33F7" w:rsidRDefault="003F33F7" w:rsidP="003F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F1"/>
    <w:rsid w:val="00216447"/>
    <w:rsid w:val="00270278"/>
    <w:rsid w:val="003F33F7"/>
    <w:rsid w:val="00551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F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3F7"/>
    <w:pPr>
      <w:tabs>
        <w:tab w:val="center" w:pos="4252"/>
        <w:tab w:val="right" w:pos="8504"/>
      </w:tabs>
      <w:snapToGrid w:val="0"/>
    </w:pPr>
  </w:style>
  <w:style w:type="character" w:customStyle="1" w:styleId="a4">
    <w:name w:val="ヘッダー (文字)"/>
    <w:basedOn w:val="a0"/>
    <w:link w:val="a3"/>
    <w:uiPriority w:val="99"/>
    <w:rsid w:val="003F33F7"/>
  </w:style>
  <w:style w:type="paragraph" w:styleId="a5">
    <w:name w:val="footer"/>
    <w:basedOn w:val="a"/>
    <w:link w:val="a6"/>
    <w:uiPriority w:val="99"/>
    <w:unhideWhenUsed/>
    <w:rsid w:val="003F33F7"/>
    <w:pPr>
      <w:tabs>
        <w:tab w:val="center" w:pos="4252"/>
        <w:tab w:val="right" w:pos="8504"/>
      </w:tabs>
      <w:snapToGrid w:val="0"/>
    </w:pPr>
  </w:style>
  <w:style w:type="character" w:customStyle="1" w:styleId="a6">
    <w:name w:val="フッター (文字)"/>
    <w:basedOn w:val="a0"/>
    <w:link w:val="a5"/>
    <w:uiPriority w:val="99"/>
    <w:rsid w:val="003F3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F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3F7"/>
    <w:pPr>
      <w:tabs>
        <w:tab w:val="center" w:pos="4252"/>
        <w:tab w:val="right" w:pos="8504"/>
      </w:tabs>
      <w:snapToGrid w:val="0"/>
    </w:pPr>
  </w:style>
  <w:style w:type="character" w:customStyle="1" w:styleId="a4">
    <w:name w:val="ヘッダー (文字)"/>
    <w:basedOn w:val="a0"/>
    <w:link w:val="a3"/>
    <w:uiPriority w:val="99"/>
    <w:rsid w:val="003F33F7"/>
  </w:style>
  <w:style w:type="paragraph" w:styleId="a5">
    <w:name w:val="footer"/>
    <w:basedOn w:val="a"/>
    <w:link w:val="a6"/>
    <w:uiPriority w:val="99"/>
    <w:unhideWhenUsed/>
    <w:rsid w:val="003F33F7"/>
    <w:pPr>
      <w:tabs>
        <w:tab w:val="center" w:pos="4252"/>
        <w:tab w:val="right" w:pos="8504"/>
      </w:tabs>
      <w:snapToGrid w:val="0"/>
    </w:pPr>
  </w:style>
  <w:style w:type="character" w:customStyle="1" w:styleId="a6">
    <w:name w:val="フッター (文字)"/>
    <w:basedOn w:val="a0"/>
    <w:link w:val="a5"/>
    <w:uiPriority w:val="99"/>
    <w:rsid w:val="003F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吹田市役所</dc:creator>
  <cp:keywords/>
  <dc:description/>
  <cp:lastModifiedBy>吹田市役所</cp:lastModifiedBy>
  <cp:revision>3</cp:revision>
  <dcterms:created xsi:type="dcterms:W3CDTF">2017-12-05T05:18:00Z</dcterms:created>
  <dcterms:modified xsi:type="dcterms:W3CDTF">2019-02-06T08:18:00Z</dcterms:modified>
</cp:coreProperties>
</file>